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8C9B" w14:textId="0378F685" w:rsidR="001B52F5" w:rsidRDefault="00934F2F" w:rsidP="00934F2F">
      <w:pPr>
        <w:pStyle w:val="Heading1"/>
      </w:pPr>
      <w:r w:rsidRPr="00934F2F">
        <w:t>Supplementary material</w:t>
      </w:r>
    </w:p>
    <w:p w14:paraId="4458785E" w14:textId="763BBE4D" w:rsidR="00934F2F" w:rsidRDefault="00934F2F" w:rsidP="00934F2F">
      <w:pPr>
        <w:pStyle w:val="Heading2"/>
      </w:pPr>
      <w:r w:rsidRPr="0065242E">
        <w:t>Full sample statistics of variables used in the model</w:t>
      </w:r>
    </w:p>
    <w:p w14:paraId="6D009485" w14:textId="54ECEC6E" w:rsidR="00934F2F" w:rsidRDefault="00934F2F" w:rsidP="00934F2F">
      <w:pPr>
        <w:pStyle w:val="Caption"/>
      </w:pPr>
      <w:r w:rsidRPr="00934F2F">
        <w:t>Table S1. Full weighted sample statistics.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532"/>
        <w:gridCol w:w="1974"/>
        <w:gridCol w:w="1586"/>
        <w:gridCol w:w="1274"/>
        <w:gridCol w:w="1274"/>
      </w:tblGrid>
      <w:tr w:rsidR="00934F2F" w:rsidRPr="0065242E" w14:paraId="69D9748C" w14:textId="77777777" w:rsidTr="00AC6482">
        <w:trPr>
          <w:trHeight w:val="320"/>
        </w:trPr>
        <w:tc>
          <w:tcPr>
            <w:tcW w:w="2584" w:type="dxa"/>
            <w:shd w:val="clear" w:color="auto" w:fill="EEECE1" w:themeFill="background2"/>
            <w:noWrap/>
            <w:vAlign w:val="center"/>
            <w:hideMark/>
          </w:tcPr>
          <w:p w14:paraId="46112AA1" w14:textId="77777777" w:rsidR="00934F2F" w:rsidRPr="0065242E" w:rsidRDefault="00934F2F" w:rsidP="00AC6482">
            <w:pPr>
              <w:rPr>
                <w:b/>
              </w:rPr>
            </w:pPr>
          </w:p>
        </w:tc>
        <w:tc>
          <w:tcPr>
            <w:tcW w:w="2014" w:type="dxa"/>
            <w:shd w:val="clear" w:color="auto" w:fill="EEECE1" w:themeFill="background2"/>
            <w:noWrap/>
            <w:vAlign w:val="center"/>
            <w:hideMark/>
          </w:tcPr>
          <w:p w14:paraId="1B9D44B9" w14:textId="77777777" w:rsidR="00934F2F" w:rsidRPr="0065242E" w:rsidRDefault="00934F2F" w:rsidP="00AC6482">
            <w:pPr>
              <w:rPr>
                <w:b/>
              </w:rPr>
            </w:pPr>
          </w:p>
        </w:tc>
        <w:tc>
          <w:tcPr>
            <w:tcW w:w="1618" w:type="dxa"/>
            <w:shd w:val="clear" w:color="auto" w:fill="EEECE1" w:themeFill="background2"/>
            <w:noWrap/>
            <w:vAlign w:val="center"/>
            <w:hideMark/>
          </w:tcPr>
          <w:p w14:paraId="7B6225B3" w14:textId="77777777" w:rsidR="00934F2F" w:rsidRPr="0065242E" w:rsidRDefault="00934F2F" w:rsidP="00AC6482">
            <w:pPr>
              <w:jc w:val="right"/>
              <w:rPr>
                <w:b/>
              </w:rPr>
            </w:pPr>
            <w:r w:rsidRPr="0065242E">
              <w:rPr>
                <w:b/>
              </w:rPr>
              <w:t>São Paulo</w:t>
            </w:r>
          </w:p>
        </w:tc>
        <w:tc>
          <w:tcPr>
            <w:tcW w:w="1300" w:type="dxa"/>
            <w:shd w:val="clear" w:color="auto" w:fill="EEECE1" w:themeFill="background2"/>
            <w:noWrap/>
            <w:vAlign w:val="center"/>
            <w:hideMark/>
          </w:tcPr>
          <w:p w14:paraId="7F4D4294" w14:textId="77777777" w:rsidR="00934F2F" w:rsidRPr="0065242E" w:rsidRDefault="00934F2F" w:rsidP="00AC6482">
            <w:pPr>
              <w:jc w:val="right"/>
              <w:rPr>
                <w:b/>
              </w:rPr>
            </w:pPr>
            <w:r w:rsidRPr="0065242E">
              <w:rPr>
                <w:b/>
              </w:rPr>
              <w:t>Istanbul</w:t>
            </w:r>
          </w:p>
        </w:tc>
        <w:tc>
          <w:tcPr>
            <w:tcW w:w="1300" w:type="dxa"/>
            <w:shd w:val="clear" w:color="auto" w:fill="EEECE1" w:themeFill="background2"/>
            <w:noWrap/>
            <w:vAlign w:val="center"/>
            <w:hideMark/>
          </w:tcPr>
          <w:p w14:paraId="52002006" w14:textId="77777777" w:rsidR="00934F2F" w:rsidRPr="0065242E" w:rsidRDefault="00934F2F" w:rsidP="00AC6482">
            <w:pPr>
              <w:jc w:val="right"/>
              <w:rPr>
                <w:b/>
              </w:rPr>
            </w:pPr>
            <w:r w:rsidRPr="0065242E">
              <w:rPr>
                <w:b/>
              </w:rPr>
              <w:t>Mumbai</w:t>
            </w:r>
          </w:p>
        </w:tc>
      </w:tr>
      <w:tr w:rsidR="00934F2F" w:rsidRPr="0065242E" w14:paraId="3AE0230E" w14:textId="77777777" w:rsidTr="00AC6482">
        <w:trPr>
          <w:trHeight w:val="320"/>
        </w:trPr>
        <w:tc>
          <w:tcPr>
            <w:tcW w:w="25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590E0D" w14:textId="77777777" w:rsidR="00934F2F" w:rsidRPr="0065242E" w:rsidRDefault="00934F2F" w:rsidP="00AC6482">
            <w:r w:rsidRPr="0065242E">
              <w:t>sample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7CF7D8" w14:textId="77777777" w:rsidR="00934F2F" w:rsidRPr="0065242E" w:rsidRDefault="00934F2F" w:rsidP="00AC6482">
            <w:r w:rsidRPr="0065242E">
              <w:t>n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3CDB42" w14:textId="77777777" w:rsidR="00934F2F" w:rsidRPr="0065242E" w:rsidRDefault="00934F2F" w:rsidP="00AC6482">
            <w:pPr>
              <w:jc w:val="right"/>
            </w:pPr>
            <w:r w:rsidRPr="0065242E">
              <w:t>1000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B438E3" w14:textId="77777777" w:rsidR="00934F2F" w:rsidRPr="0065242E" w:rsidRDefault="00934F2F" w:rsidP="00AC6482">
            <w:pPr>
              <w:jc w:val="right"/>
            </w:pPr>
            <w:r w:rsidRPr="0065242E">
              <w:t>1013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F72201" w14:textId="77777777" w:rsidR="00934F2F" w:rsidRPr="0065242E" w:rsidRDefault="00934F2F" w:rsidP="00AC6482">
            <w:pPr>
              <w:jc w:val="right"/>
            </w:pPr>
            <w:r w:rsidRPr="0065242E">
              <w:t>1001</w:t>
            </w:r>
          </w:p>
        </w:tc>
      </w:tr>
      <w:tr w:rsidR="00934F2F" w:rsidRPr="0065242E" w14:paraId="2661A5A5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43ADADBF" w14:textId="77777777" w:rsidR="00934F2F" w:rsidRPr="0065242E" w:rsidRDefault="00934F2F" w:rsidP="00AC6482">
            <w:r w:rsidRPr="0065242E">
              <w:t>gender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78EF542C" w14:textId="77777777" w:rsidR="00934F2F" w:rsidRPr="0065242E" w:rsidRDefault="00934F2F" w:rsidP="00AC6482">
            <w:r w:rsidRPr="0065242E">
              <w:t>male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107D0962" w14:textId="77777777" w:rsidR="00934F2F" w:rsidRPr="0065242E" w:rsidRDefault="00934F2F" w:rsidP="00AC6482">
            <w:pPr>
              <w:jc w:val="right"/>
            </w:pPr>
            <w:r w:rsidRPr="0065242E">
              <w:t>46.7%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27DDAF92" w14:textId="77777777" w:rsidR="00934F2F" w:rsidRPr="0065242E" w:rsidRDefault="00934F2F" w:rsidP="00AC6482">
            <w:pPr>
              <w:jc w:val="right"/>
            </w:pPr>
            <w:r w:rsidRPr="0065242E">
              <w:t>50.0%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7EA54C00" w14:textId="77777777" w:rsidR="00934F2F" w:rsidRPr="0065242E" w:rsidRDefault="00934F2F" w:rsidP="00AC6482">
            <w:pPr>
              <w:jc w:val="right"/>
            </w:pPr>
            <w:r w:rsidRPr="0065242E">
              <w:t>54.9%</w:t>
            </w:r>
          </w:p>
        </w:tc>
      </w:tr>
      <w:tr w:rsidR="00934F2F" w:rsidRPr="0065242E" w14:paraId="2DE65FB2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1C7859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4193CB" w14:textId="77777777" w:rsidR="00934F2F" w:rsidRPr="0065242E" w:rsidRDefault="00934F2F" w:rsidP="00AC6482">
            <w:r w:rsidRPr="0065242E">
              <w:t>female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CFCC0F" w14:textId="77777777" w:rsidR="00934F2F" w:rsidRPr="0065242E" w:rsidRDefault="00934F2F" w:rsidP="00AC6482">
            <w:pPr>
              <w:jc w:val="right"/>
            </w:pPr>
            <w:r w:rsidRPr="0065242E">
              <w:t>53.3%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D411DA" w14:textId="77777777" w:rsidR="00934F2F" w:rsidRPr="0065242E" w:rsidRDefault="00934F2F" w:rsidP="00AC6482">
            <w:pPr>
              <w:jc w:val="right"/>
            </w:pPr>
            <w:r w:rsidRPr="0065242E">
              <w:t>50.0%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BD86BA" w14:textId="77777777" w:rsidR="00934F2F" w:rsidRPr="0065242E" w:rsidRDefault="00934F2F" w:rsidP="00AC6482">
            <w:pPr>
              <w:jc w:val="right"/>
            </w:pPr>
            <w:r w:rsidRPr="0065242E">
              <w:t>45.1%</w:t>
            </w:r>
          </w:p>
        </w:tc>
      </w:tr>
      <w:tr w:rsidR="00934F2F" w:rsidRPr="0065242E" w14:paraId="117AAE13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79F1FD23" w14:textId="77777777" w:rsidR="00934F2F" w:rsidRPr="0065242E" w:rsidRDefault="00934F2F" w:rsidP="00AC6482">
            <w:r w:rsidRPr="0065242E">
              <w:t>age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538920DF" w14:textId="77777777" w:rsidR="00934F2F" w:rsidRPr="0065242E" w:rsidRDefault="00934F2F" w:rsidP="00AC6482">
            <w:r w:rsidRPr="0065242E">
              <w:t>&lt;20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4EBF0046" w14:textId="77777777" w:rsidR="00934F2F" w:rsidRPr="0065242E" w:rsidRDefault="00934F2F" w:rsidP="00AC6482">
            <w:pPr>
              <w:jc w:val="right"/>
            </w:pPr>
            <w:r w:rsidRPr="0065242E">
              <w:t>9.7%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107A618A" w14:textId="77777777" w:rsidR="00934F2F" w:rsidRPr="0065242E" w:rsidRDefault="00934F2F" w:rsidP="00AC6482">
            <w:pPr>
              <w:jc w:val="right"/>
            </w:pPr>
            <w:r w:rsidRPr="0065242E">
              <w:t>13.3%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41FC9205" w14:textId="77777777" w:rsidR="00934F2F" w:rsidRPr="0065242E" w:rsidRDefault="00934F2F" w:rsidP="00AC6482">
            <w:pPr>
              <w:jc w:val="right"/>
            </w:pPr>
            <w:r w:rsidRPr="0065242E">
              <w:t>10.1%</w:t>
            </w:r>
          </w:p>
        </w:tc>
      </w:tr>
      <w:tr w:rsidR="00934F2F" w:rsidRPr="0065242E" w14:paraId="4051D91F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74C3BA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859295" w14:textId="77777777" w:rsidR="00934F2F" w:rsidRPr="0065242E" w:rsidRDefault="00934F2F" w:rsidP="00AC6482">
            <w:r w:rsidRPr="0065242E">
              <w:t>20 - &lt;40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553A12" w14:textId="77777777" w:rsidR="00934F2F" w:rsidRPr="0065242E" w:rsidRDefault="00934F2F" w:rsidP="00AC6482">
            <w:pPr>
              <w:jc w:val="right"/>
            </w:pPr>
            <w:r w:rsidRPr="0065242E">
              <w:t>47.9%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A17325" w14:textId="77777777" w:rsidR="00934F2F" w:rsidRPr="0065242E" w:rsidRDefault="00934F2F" w:rsidP="00AC6482">
            <w:pPr>
              <w:jc w:val="right"/>
            </w:pPr>
            <w:r w:rsidRPr="0065242E">
              <w:t>47.3%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B2B88" w14:textId="77777777" w:rsidR="00934F2F" w:rsidRPr="0065242E" w:rsidRDefault="00934F2F" w:rsidP="00AC6482">
            <w:pPr>
              <w:jc w:val="right"/>
            </w:pPr>
            <w:r w:rsidRPr="0065242E">
              <w:t>50.6%</w:t>
            </w:r>
          </w:p>
        </w:tc>
      </w:tr>
      <w:tr w:rsidR="00934F2F" w:rsidRPr="0065242E" w14:paraId="55A84628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035680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A36FA" w14:textId="77777777" w:rsidR="00934F2F" w:rsidRPr="0065242E" w:rsidRDefault="00934F2F" w:rsidP="00AC6482">
            <w:r w:rsidRPr="0065242E">
              <w:t>40 - &lt;60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C03CA" w14:textId="77777777" w:rsidR="00934F2F" w:rsidRPr="0065242E" w:rsidRDefault="00934F2F" w:rsidP="00AC6482">
            <w:pPr>
              <w:jc w:val="right"/>
            </w:pPr>
            <w:r w:rsidRPr="0065242E">
              <w:t>33.9%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A3698" w14:textId="77777777" w:rsidR="00934F2F" w:rsidRPr="0065242E" w:rsidRDefault="00934F2F" w:rsidP="00AC6482">
            <w:pPr>
              <w:jc w:val="right"/>
            </w:pPr>
            <w:r w:rsidRPr="0065242E">
              <w:t>33.5%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3D59BC" w14:textId="77777777" w:rsidR="00934F2F" w:rsidRPr="0065242E" w:rsidRDefault="00934F2F" w:rsidP="00AC6482">
            <w:pPr>
              <w:jc w:val="right"/>
            </w:pPr>
            <w:r w:rsidRPr="0065242E">
              <w:t>36.9%</w:t>
            </w:r>
          </w:p>
        </w:tc>
      </w:tr>
      <w:tr w:rsidR="00934F2F" w:rsidRPr="0065242E" w14:paraId="71CD336A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984399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6620F7" w14:textId="77777777" w:rsidR="00934F2F" w:rsidRPr="0065242E" w:rsidRDefault="00934F2F" w:rsidP="00AC6482">
            <w:r w:rsidRPr="0065242E">
              <w:t>≥60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0BA283" w14:textId="77777777" w:rsidR="00934F2F" w:rsidRPr="0065242E" w:rsidRDefault="00934F2F" w:rsidP="00AC6482">
            <w:pPr>
              <w:jc w:val="right"/>
            </w:pPr>
            <w:r w:rsidRPr="0065242E">
              <w:t>8.5%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663BF4" w14:textId="77777777" w:rsidR="00934F2F" w:rsidRPr="0065242E" w:rsidRDefault="00934F2F" w:rsidP="00AC6482">
            <w:pPr>
              <w:jc w:val="right"/>
            </w:pPr>
            <w:r w:rsidRPr="0065242E">
              <w:t>5.9%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16DA9A" w14:textId="77777777" w:rsidR="00934F2F" w:rsidRPr="0065242E" w:rsidRDefault="00934F2F" w:rsidP="00AC6482">
            <w:pPr>
              <w:jc w:val="right"/>
            </w:pPr>
            <w:r w:rsidRPr="0065242E">
              <w:t>2.4%</w:t>
            </w:r>
          </w:p>
        </w:tc>
      </w:tr>
      <w:tr w:rsidR="00934F2F" w:rsidRPr="0065242E" w14:paraId="685F359E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683A51E1" w14:textId="77777777" w:rsidR="00934F2F" w:rsidRPr="0065242E" w:rsidRDefault="00934F2F" w:rsidP="00AC6482">
            <w:r w:rsidRPr="0065242E">
              <w:t>household size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206425FE" w14:textId="77777777" w:rsidR="00934F2F" w:rsidRPr="0065242E" w:rsidRDefault="00934F2F" w:rsidP="00AC6482">
            <w:r w:rsidRPr="0065242E">
              <w:t>1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3D12416A" w14:textId="77777777" w:rsidR="00934F2F" w:rsidRPr="0065242E" w:rsidRDefault="00934F2F" w:rsidP="00AC6482">
            <w:pPr>
              <w:jc w:val="right"/>
            </w:pPr>
            <w:r w:rsidRPr="0065242E">
              <w:t>3.9%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00644592" w14:textId="77777777" w:rsidR="00934F2F" w:rsidRPr="0065242E" w:rsidRDefault="00934F2F" w:rsidP="00AC6482">
            <w:pPr>
              <w:jc w:val="right"/>
            </w:pPr>
            <w:r w:rsidRPr="0065242E">
              <w:t>1.4%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21CD9F26" w14:textId="77777777" w:rsidR="00934F2F" w:rsidRPr="0065242E" w:rsidRDefault="00934F2F" w:rsidP="00AC6482">
            <w:pPr>
              <w:jc w:val="right"/>
            </w:pPr>
            <w:r w:rsidRPr="0065242E">
              <w:t>1.9%</w:t>
            </w:r>
          </w:p>
        </w:tc>
      </w:tr>
      <w:tr w:rsidR="00934F2F" w:rsidRPr="0065242E" w14:paraId="5C6040CE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8DB32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1DDD1D" w14:textId="77777777" w:rsidR="00934F2F" w:rsidRPr="0065242E" w:rsidRDefault="00934F2F" w:rsidP="00AC6482">
            <w:r w:rsidRPr="0065242E">
              <w:t>2-3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B8741B" w14:textId="77777777" w:rsidR="00934F2F" w:rsidRPr="0065242E" w:rsidRDefault="00934F2F" w:rsidP="00AC6482">
            <w:pPr>
              <w:jc w:val="right"/>
            </w:pPr>
            <w:r w:rsidRPr="0065242E">
              <w:t>39.5%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4B1018" w14:textId="77777777" w:rsidR="00934F2F" w:rsidRPr="0065242E" w:rsidRDefault="00934F2F" w:rsidP="00AC6482">
            <w:pPr>
              <w:jc w:val="right"/>
            </w:pPr>
            <w:r w:rsidRPr="0065242E">
              <w:t>32.4%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B52BDA" w14:textId="77777777" w:rsidR="00934F2F" w:rsidRPr="0065242E" w:rsidRDefault="00934F2F" w:rsidP="00AC6482">
            <w:pPr>
              <w:jc w:val="right"/>
            </w:pPr>
            <w:r w:rsidRPr="0065242E">
              <w:t>39.7%</w:t>
            </w:r>
          </w:p>
        </w:tc>
      </w:tr>
      <w:tr w:rsidR="00934F2F" w:rsidRPr="0065242E" w14:paraId="559768A3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A30D47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4152F4" w14:textId="77777777" w:rsidR="00934F2F" w:rsidRPr="0065242E" w:rsidRDefault="00934F2F" w:rsidP="00AC6482">
            <w:r w:rsidRPr="0065242E">
              <w:t>4-5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1845B6" w14:textId="77777777" w:rsidR="00934F2F" w:rsidRPr="0065242E" w:rsidRDefault="00934F2F" w:rsidP="00AC6482">
            <w:pPr>
              <w:jc w:val="right"/>
            </w:pPr>
            <w:r w:rsidRPr="0065242E">
              <w:t>40.4%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37469D" w14:textId="77777777" w:rsidR="00934F2F" w:rsidRPr="0065242E" w:rsidRDefault="00934F2F" w:rsidP="00AC6482">
            <w:pPr>
              <w:jc w:val="right"/>
            </w:pPr>
            <w:r w:rsidRPr="0065242E">
              <w:t>50.5%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9CB34D" w14:textId="77777777" w:rsidR="00934F2F" w:rsidRPr="0065242E" w:rsidRDefault="00934F2F" w:rsidP="00AC6482">
            <w:pPr>
              <w:jc w:val="right"/>
            </w:pPr>
            <w:r w:rsidRPr="0065242E">
              <w:t>48.5%</w:t>
            </w:r>
          </w:p>
        </w:tc>
      </w:tr>
      <w:tr w:rsidR="00934F2F" w:rsidRPr="0065242E" w14:paraId="5B1BB227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9622FC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C8FB5C" w14:textId="77777777" w:rsidR="00934F2F" w:rsidRPr="0065242E" w:rsidRDefault="00934F2F" w:rsidP="00AC6482">
            <w:r w:rsidRPr="0065242E">
              <w:t>5+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5FBBC9" w14:textId="77777777" w:rsidR="00934F2F" w:rsidRPr="0065242E" w:rsidRDefault="00934F2F" w:rsidP="00AC6482">
            <w:pPr>
              <w:jc w:val="right"/>
            </w:pPr>
            <w:r w:rsidRPr="0065242E">
              <w:t>16.2%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B3CCCF" w14:textId="77777777" w:rsidR="00934F2F" w:rsidRPr="0065242E" w:rsidRDefault="00934F2F" w:rsidP="00AC6482">
            <w:pPr>
              <w:jc w:val="right"/>
            </w:pPr>
            <w:r w:rsidRPr="0065242E">
              <w:t>15.7%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C50349" w14:textId="77777777" w:rsidR="00934F2F" w:rsidRPr="0065242E" w:rsidRDefault="00934F2F" w:rsidP="00AC6482">
            <w:pPr>
              <w:jc w:val="right"/>
            </w:pPr>
            <w:r w:rsidRPr="0065242E">
              <w:t>10.0%</w:t>
            </w:r>
          </w:p>
        </w:tc>
      </w:tr>
      <w:tr w:rsidR="00934F2F" w:rsidRPr="0065242E" w14:paraId="2EB6A781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508E6992" w14:textId="77777777" w:rsidR="00934F2F" w:rsidRPr="0065242E" w:rsidRDefault="00934F2F" w:rsidP="00AC6482">
            <w:r w:rsidRPr="0065242E">
              <w:t xml:space="preserve">social status </w:t>
            </w:r>
            <w:r w:rsidRPr="0065242E">
              <w:rPr>
                <w:vertAlign w:val="superscript"/>
              </w:rPr>
              <w:t>a)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0274E9FF" w14:textId="77777777" w:rsidR="00934F2F" w:rsidRPr="0065242E" w:rsidRDefault="00934F2F" w:rsidP="00AC6482">
            <w:r w:rsidRPr="0065242E">
              <w:t>A/B (high)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5A419AF3" w14:textId="77777777" w:rsidR="00934F2F" w:rsidRPr="0065242E" w:rsidRDefault="00934F2F" w:rsidP="00AC6482">
            <w:pPr>
              <w:jc w:val="right"/>
            </w:pPr>
            <w:r w:rsidRPr="0065242E">
              <w:t>19.8%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21E248C7" w14:textId="77777777" w:rsidR="00934F2F" w:rsidRPr="0065242E" w:rsidRDefault="00934F2F" w:rsidP="00AC6482">
            <w:pPr>
              <w:jc w:val="right"/>
            </w:pPr>
            <w:r w:rsidRPr="0065242E">
              <w:t>16.0%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010EC560" w14:textId="77777777" w:rsidR="00934F2F" w:rsidRPr="0065242E" w:rsidRDefault="00934F2F" w:rsidP="00AC6482">
            <w:pPr>
              <w:jc w:val="right"/>
            </w:pPr>
            <w:r w:rsidRPr="0065242E">
              <w:t>43.1%</w:t>
            </w:r>
          </w:p>
        </w:tc>
      </w:tr>
      <w:tr w:rsidR="00934F2F" w:rsidRPr="0065242E" w14:paraId="05DBEE9E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4B91C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7E43D2" w14:textId="77777777" w:rsidR="00934F2F" w:rsidRPr="0065242E" w:rsidRDefault="00934F2F" w:rsidP="00AC6482">
            <w:r w:rsidRPr="0065242E">
              <w:t>C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CACEA" w14:textId="77777777" w:rsidR="00934F2F" w:rsidRPr="0065242E" w:rsidRDefault="00934F2F" w:rsidP="00AC6482">
            <w:pPr>
              <w:jc w:val="right"/>
            </w:pPr>
            <w:r w:rsidRPr="0065242E">
              <w:t>50.2%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825217" w14:textId="77777777" w:rsidR="00934F2F" w:rsidRPr="0065242E" w:rsidRDefault="00934F2F" w:rsidP="00AC6482">
            <w:pPr>
              <w:jc w:val="right"/>
            </w:pPr>
            <w:r w:rsidRPr="0065242E">
              <w:t>65.0%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942854" w14:textId="77777777" w:rsidR="00934F2F" w:rsidRPr="0065242E" w:rsidRDefault="00934F2F" w:rsidP="00AC6482">
            <w:pPr>
              <w:jc w:val="right"/>
            </w:pPr>
            <w:r w:rsidRPr="0065242E">
              <w:t>25.0%</w:t>
            </w:r>
          </w:p>
        </w:tc>
      </w:tr>
      <w:tr w:rsidR="00934F2F" w:rsidRPr="0065242E" w14:paraId="02D5A50F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5DDD8B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08F589" w14:textId="77777777" w:rsidR="00934F2F" w:rsidRPr="0065242E" w:rsidRDefault="00934F2F" w:rsidP="00AC6482">
            <w:r w:rsidRPr="0065242E">
              <w:t>D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C07305" w14:textId="77777777" w:rsidR="00934F2F" w:rsidRPr="0065242E" w:rsidRDefault="00934F2F" w:rsidP="00AC6482">
            <w:pPr>
              <w:jc w:val="right"/>
            </w:pPr>
            <w:r w:rsidRPr="0065242E">
              <w:t>27.0%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095005" w14:textId="77777777" w:rsidR="00934F2F" w:rsidRPr="0065242E" w:rsidRDefault="00934F2F" w:rsidP="00AC6482">
            <w:pPr>
              <w:jc w:val="right"/>
            </w:pPr>
            <w:r w:rsidRPr="0065242E">
              <w:t>17.7%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FBB69" w14:textId="77777777" w:rsidR="00934F2F" w:rsidRPr="0065242E" w:rsidRDefault="00934F2F" w:rsidP="00AC6482">
            <w:pPr>
              <w:jc w:val="right"/>
            </w:pPr>
            <w:r w:rsidRPr="0065242E">
              <w:t>18.3%</w:t>
            </w:r>
          </w:p>
        </w:tc>
      </w:tr>
      <w:tr w:rsidR="00934F2F" w:rsidRPr="0065242E" w14:paraId="5941781E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29D1F1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67EBD0" w14:textId="77777777" w:rsidR="00934F2F" w:rsidRPr="0065242E" w:rsidRDefault="00934F2F" w:rsidP="00AC6482">
            <w:r w:rsidRPr="0065242E">
              <w:t>E (low)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CE4C34" w14:textId="77777777" w:rsidR="00934F2F" w:rsidRPr="0065242E" w:rsidRDefault="00934F2F" w:rsidP="00AC6482">
            <w:pPr>
              <w:jc w:val="right"/>
            </w:pPr>
            <w:r w:rsidRPr="0065242E">
              <w:t>2.9%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E1EDD" w14:textId="77777777" w:rsidR="00934F2F" w:rsidRPr="0065242E" w:rsidRDefault="00934F2F" w:rsidP="00AC6482">
            <w:pPr>
              <w:jc w:val="right"/>
            </w:pPr>
            <w:r w:rsidRPr="0065242E">
              <w:t>1.3%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02D20F" w14:textId="77777777" w:rsidR="00934F2F" w:rsidRPr="0065242E" w:rsidRDefault="00934F2F" w:rsidP="00AC6482">
            <w:pPr>
              <w:jc w:val="right"/>
            </w:pPr>
            <w:r w:rsidRPr="0065242E">
              <w:t>13.7%</w:t>
            </w:r>
          </w:p>
        </w:tc>
      </w:tr>
      <w:tr w:rsidR="00934F2F" w:rsidRPr="0065242E" w14:paraId="708C1214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3FA9FBAD" w14:textId="77777777" w:rsidR="00934F2F" w:rsidRPr="0065242E" w:rsidRDefault="00934F2F" w:rsidP="00AC6482">
            <w:r w:rsidRPr="0065242E">
              <w:t>qualification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77290173" w14:textId="77777777" w:rsidR="00934F2F" w:rsidRPr="0065242E" w:rsidRDefault="00934F2F" w:rsidP="00AC6482">
            <w:r w:rsidRPr="0065242E">
              <w:t>primary/none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7B297E4D" w14:textId="77777777" w:rsidR="00934F2F" w:rsidRPr="0065242E" w:rsidRDefault="00934F2F" w:rsidP="00AC6482">
            <w:pPr>
              <w:jc w:val="right"/>
            </w:pPr>
            <w:r w:rsidRPr="0065242E">
              <w:t>36.3%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01DF54F9" w14:textId="77777777" w:rsidR="00934F2F" w:rsidRPr="0065242E" w:rsidRDefault="00934F2F" w:rsidP="00AC6482">
            <w:pPr>
              <w:jc w:val="right"/>
            </w:pPr>
            <w:r w:rsidRPr="0065242E">
              <w:t>45.3%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6FCB97D1" w14:textId="77777777" w:rsidR="00934F2F" w:rsidRPr="0065242E" w:rsidRDefault="00934F2F" w:rsidP="00AC6482">
            <w:pPr>
              <w:jc w:val="right"/>
            </w:pPr>
            <w:r w:rsidRPr="0065242E">
              <w:t>38.0%</w:t>
            </w:r>
          </w:p>
        </w:tc>
      </w:tr>
      <w:tr w:rsidR="00934F2F" w:rsidRPr="0065242E" w14:paraId="5DB99F43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9E826D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FE5E80" w14:textId="77777777" w:rsidR="00934F2F" w:rsidRPr="0065242E" w:rsidRDefault="00934F2F" w:rsidP="00AC6482">
            <w:r w:rsidRPr="0065242E">
              <w:t>secondary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7C123E" w14:textId="77777777" w:rsidR="00934F2F" w:rsidRPr="0065242E" w:rsidRDefault="00934F2F" w:rsidP="00AC6482">
            <w:pPr>
              <w:jc w:val="right"/>
            </w:pPr>
            <w:r w:rsidRPr="0065242E">
              <w:t>18.6%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4A1C6" w14:textId="77777777" w:rsidR="00934F2F" w:rsidRPr="0065242E" w:rsidRDefault="00934F2F" w:rsidP="00AC6482">
            <w:pPr>
              <w:jc w:val="right"/>
            </w:pPr>
            <w:r w:rsidRPr="0065242E">
              <w:t>18.0%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F0D2E" w14:textId="77777777" w:rsidR="00934F2F" w:rsidRPr="0065242E" w:rsidRDefault="00934F2F" w:rsidP="00AC6482">
            <w:pPr>
              <w:jc w:val="right"/>
            </w:pPr>
            <w:r w:rsidRPr="0065242E">
              <w:t>37.3%</w:t>
            </w:r>
          </w:p>
        </w:tc>
      </w:tr>
      <w:tr w:rsidR="00934F2F" w:rsidRPr="0065242E" w14:paraId="15B5199A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1FA96D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B39D81" w14:textId="77777777" w:rsidR="00934F2F" w:rsidRPr="0065242E" w:rsidRDefault="00934F2F" w:rsidP="00AC6482">
            <w:r w:rsidRPr="0065242E">
              <w:t>higher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AE2EB5" w14:textId="77777777" w:rsidR="00934F2F" w:rsidRPr="0065242E" w:rsidRDefault="00934F2F" w:rsidP="00AC6482">
            <w:pPr>
              <w:jc w:val="right"/>
            </w:pPr>
            <w:r w:rsidRPr="0065242E">
              <w:t>45.0%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42D594" w14:textId="77777777" w:rsidR="00934F2F" w:rsidRPr="0065242E" w:rsidRDefault="00934F2F" w:rsidP="00AC6482">
            <w:pPr>
              <w:jc w:val="right"/>
            </w:pPr>
            <w:r w:rsidRPr="0065242E">
              <w:t>36.7%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088A79" w14:textId="77777777" w:rsidR="00934F2F" w:rsidRPr="0065242E" w:rsidRDefault="00934F2F" w:rsidP="00AC6482">
            <w:pPr>
              <w:jc w:val="right"/>
            </w:pPr>
            <w:r w:rsidRPr="0065242E">
              <w:t>24.8%</w:t>
            </w:r>
          </w:p>
        </w:tc>
      </w:tr>
      <w:tr w:rsidR="00934F2F" w:rsidRPr="0065242E" w14:paraId="112AA885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5FA3F406" w14:textId="77777777" w:rsidR="00934F2F" w:rsidRPr="0065242E" w:rsidRDefault="00934F2F" w:rsidP="00AC6482">
            <w:r w:rsidRPr="0065242E">
              <w:t>job status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2FD5642B" w14:textId="77777777" w:rsidR="00934F2F" w:rsidRPr="0065242E" w:rsidRDefault="00934F2F" w:rsidP="00AC6482">
            <w:r w:rsidRPr="0065242E">
              <w:t>not working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2870A53B" w14:textId="77777777" w:rsidR="00934F2F" w:rsidRPr="0065242E" w:rsidRDefault="00934F2F" w:rsidP="00AC6482">
            <w:pPr>
              <w:jc w:val="right"/>
            </w:pPr>
            <w:r w:rsidRPr="0065242E">
              <w:t>37.9%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047F9996" w14:textId="77777777" w:rsidR="00934F2F" w:rsidRPr="0065242E" w:rsidRDefault="00934F2F" w:rsidP="00AC6482">
            <w:pPr>
              <w:jc w:val="right"/>
            </w:pPr>
            <w:r w:rsidRPr="0065242E">
              <w:t>59.6%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2E33B81B" w14:textId="77777777" w:rsidR="00934F2F" w:rsidRPr="0065242E" w:rsidRDefault="00934F2F" w:rsidP="00AC6482">
            <w:pPr>
              <w:jc w:val="right"/>
            </w:pPr>
            <w:r w:rsidRPr="0065242E">
              <w:t>53.8%</w:t>
            </w:r>
          </w:p>
        </w:tc>
      </w:tr>
      <w:tr w:rsidR="00934F2F" w:rsidRPr="0065242E" w14:paraId="4D78C1E6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FBF73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B05D0C" w14:textId="77777777" w:rsidR="00934F2F" w:rsidRPr="0065242E" w:rsidRDefault="00934F2F" w:rsidP="00AC6482">
            <w:r w:rsidRPr="0065242E">
              <w:t>informal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EE46AB" w14:textId="77777777" w:rsidR="00934F2F" w:rsidRPr="0065242E" w:rsidRDefault="00934F2F" w:rsidP="00AC6482">
            <w:pPr>
              <w:jc w:val="right"/>
            </w:pPr>
            <w:r w:rsidRPr="0065242E">
              <w:t>28.3%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19AF2B" w14:textId="77777777" w:rsidR="00934F2F" w:rsidRPr="0065242E" w:rsidRDefault="00934F2F" w:rsidP="00AC6482">
            <w:pPr>
              <w:jc w:val="right"/>
            </w:pPr>
            <w:r w:rsidRPr="0065242E">
              <w:t>9.9%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1BC11" w14:textId="77777777" w:rsidR="00934F2F" w:rsidRPr="0065242E" w:rsidRDefault="00934F2F" w:rsidP="00AC6482">
            <w:pPr>
              <w:jc w:val="right"/>
            </w:pPr>
            <w:r w:rsidRPr="0065242E">
              <w:t>25.6%</w:t>
            </w:r>
          </w:p>
        </w:tc>
      </w:tr>
      <w:tr w:rsidR="00934F2F" w:rsidRPr="0065242E" w14:paraId="1D2F782E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B379C9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53D6B4" w14:textId="77777777" w:rsidR="00934F2F" w:rsidRPr="0065242E" w:rsidRDefault="00934F2F" w:rsidP="00AC6482">
            <w:r w:rsidRPr="0065242E">
              <w:t>formal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60AA8E" w14:textId="77777777" w:rsidR="00934F2F" w:rsidRPr="0065242E" w:rsidRDefault="00934F2F" w:rsidP="00AC6482">
            <w:pPr>
              <w:jc w:val="right"/>
            </w:pPr>
            <w:r w:rsidRPr="0065242E">
              <w:t>33.8%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27BEA79" w14:textId="77777777" w:rsidR="00934F2F" w:rsidRPr="0065242E" w:rsidRDefault="00934F2F" w:rsidP="00AC6482">
            <w:pPr>
              <w:jc w:val="right"/>
            </w:pPr>
            <w:r w:rsidRPr="0065242E">
              <w:t>30.4%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DED21D" w14:textId="77777777" w:rsidR="00934F2F" w:rsidRPr="0065242E" w:rsidRDefault="00934F2F" w:rsidP="00AC6482">
            <w:pPr>
              <w:jc w:val="right"/>
            </w:pPr>
            <w:r w:rsidRPr="0065242E">
              <w:t>20.6%</w:t>
            </w:r>
          </w:p>
        </w:tc>
      </w:tr>
      <w:tr w:rsidR="00934F2F" w:rsidRPr="0065242E" w14:paraId="4BDA24F8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412247CA" w14:textId="77777777" w:rsidR="00934F2F" w:rsidRPr="0065242E" w:rsidRDefault="00934F2F" w:rsidP="00AC6482">
            <w:r w:rsidRPr="0065242E">
              <w:t>car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5B28EA5F" w14:textId="77777777" w:rsidR="00934F2F" w:rsidRPr="0065242E" w:rsidRDefault="00934F2F" w:rsidP="00AC6482">
            <w:r w:rsidRPr="0065242E">
              <w:t>none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4BB41E1F" w14:textId="77777777" w:rsidR="00934F2F" w:rsidRPr="0065242E" w:rsidRDefault="00934F2F" w:rsidP="00AC6482">
            <w:pPr>
              <w:jc w:val="right"/>
            </w:pPr>
            <w:r w:rsidRPr="0065242E">
              <w:t>60.4%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57F45C68" w14:textId="77777777" w:rsidR="00934F2F" w:rsidRPr="0065242E" w:rsidRDefault="00934F2F" w:rsidP="00AC6482">
            <w:pPr>
              <w:jc w:val="right"/>
            </w:pPr>
            <w:r w:rsidRPr="0065242E">
              <w:t>69.4%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5489F71E" w14:textId="77777777" w:rsidR="00934F2F" w:rsidRPr="0065242E" w:rsidRDefault="00934F2F" w:rsidP="00AC6482">
            <w:pPr>
              <w:jc w:val="right"/>
            </w:pPr>
            <w:r w:rsidRPr="0065242E">
              <w:t>97.7%</w:t>
            </w:r>
          </w:p>
        </w:tc>
      </w:tr>
      <w:tr w:rsidR="00934F2F" w:rsidRPr="0065242E" w14:paraId="35FE293B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C92D97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E6B81E" w14:textId="77777777" w:rsidR="00934F2F" w:rsidRPr="0065242E" w:rsidRDefault="00934F2F" w:rsidP="00AC6482">
            <w:r w:rsidRPr="0065242E">
              <w:t>1+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3254ED" w14:textId="77777777" w:rsidR="00934F2F" w:rsidRPr="0065242E" w:rsidRDefault="00934F2F" w:rsidP="00AC6482">
            <w:pPr>
              <w:jc w:val="right"/>
            </w:pPr>
            <w:r w:rsidRPr="0065242E">
              <w:t>39.6%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F0F5DE" w14:textId="77777777" w:rsidR="00934F2F" w:rsidRPr="0065242E" w:rsidRDefault="00934F2F" w:rsidP="00AC6482">
            <w:pPr>
              <w:jc w:val="right"/>
            </w:pPr>
            <w:r w:rsidRPr="0065242E">
              <w:t>30.6%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0152376" w14:textId="77777777" w:rsidR="00934F2F" w:rsidRPr="0065242E" w:rsidRDefault="00934F2F" w:rsidP="00AC6482">
            <w:pPr>
              <w:jc w:val="right"/>
            </w:pPr>
            <w:r w:rsidRPr="0065242E">
              <w:t>2.3%</w:t>
            </w:r>
          </w:p>
        </w:tc>
      </w:tr>
      <w:tr w:rsidR="00934F2F" w:rsidRPr="0065242E" w14:paraId="216E72CA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72807B39" w14:textId="77777777" w:rsidR="00934F2F" w:rsidRPr="0065242E" w:rsidRDefault="00934F2F" w:rsidP="00AC6482">
            <w:r w:rsidRPr="0065242E">
              <w:t xml:space="preserve">distance to CBD (km) </w:t>
            </w:r>
            <w:r w:rsidRPr="0065242E">
              <w:rPr>
                <w:vertAlign w:val="superscript"/>
              </w:rPr>
              <w:t>b)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46041BCA" w14:textId="77777777" w:rsidR="00934F2F" w:rsidRPr="0065242E" w:rsidRDefault="00934F2F" w:rsidP="00AC6482">
            <w:r w:rsidRPr="0065242E">
              <w:t xml:space="preserve">&lt;10 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26AAE562" w14:textId="77777777" w:rsidR="00934F2F" w:rsidRPr="0065242E" w:rsidRDefault="00934F2F" w:rsidP="00AC6482">
            <w:pPr>
              <w:jc w:val="right"/>
            </w:pPr>
            <w:r w:rsidRPr="0065242E">
              <w:t>13.9%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052EA1A5" w14:textId="77777777" w:rsidR="00934F2F" w:rsidRPr="0065242E" w:rsidRDefault="00934F2F" w:rsidP="00AC6482">
            <w:pPr>
              <w:jc w:val="right"/>
            </w:pPr>
            <w:r w:rsidRPr="0065242E">
              <w:t>35.0%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68FBDD87" w14:textId="77777777" w:rsidR="00934F2F" w:rsidRPr="0065242E" w:rsidRDefault="00934F2F" w:rsidP="00AC6482">
            <w:pPr>
              <w:jc w:val="right"/>
            </w:pPr>
            <w:r w:rsidRPr="0065242E">
              <w:t>17.1%</w:t>
            </w:r>
          </w:p>
        </w:tc>
      </w:tr>
      <w:tr w:rsidR="00934F2F" w:rsidRPr="0065242E" w14:paraId="1DE93E69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3674B2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2784D1" w14:textId="77777777" w:rsidR="00934F2F" w:rsidRPr="0065242E" w:rsidRDefault="00934F2F" w:rsidP="00AC6482">
            <w:r w:rsidRPr="0065242E">
              <w:t>10 - &lt;20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1F0996" w14:textId="77777777" w:rsidR="00934F2F" w:rsidRPr="0065242E" w:rsidRDefault="00934F2F" w:rsidP="00AC6482">
            <w:pPr>
              <w:jc w:val="right"/>
            </w:pPr>
            <w:r w:rsidRPr="0065242E">
              <w:t>39.3%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BF9A27" w14:textId="77777777" w:rsidR="00934F2F" w:rsidRPr="0065242E" w:rsidRDefault="00934F2F" w:rsidP="00AC6482">
            <w:pPr>
              <w:jc w:val="right"/>
            </w:pPr>
            <w:r w:rsidRPr="0065242E">
              <w:t>37.4%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9C220" w14:textId="77777777" w:rsidR="00934F2F" w:rsidRPr="0065242E" w:rsidRDefault="00934F2F" w:rsidP="00AC6482">
            <w:pPr>
              <w:jc w:val="right"/>
            </w:pPr>
            <w:r w:rsidRPr="0065242E">
              <w:t>25.9%</w:t>
            </w:r>
          </w:p>
        </w:tc>
      </w:tr>
      <w:tr w:rsidR="00934F2F" w:rsidRPr="0065242E" w14:paraId="3E74CAA8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C147E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7AF127" w14:textId="77777777" w:rsidR="00934F2F" w:rsidRPr="0065242E" w:rsidRDefault="00934F2F" w:rsidP="00AC6482">
            <w:r w:rsidRPr="0065242E">
              <w:t>20 - &lt;40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8234AA" w14:textId="77777777" w:rsidR="00934F2F" w:rsidRPr="0065242E" w:rsidRDefault="00934F2F" w:rsidP="00AC6482">
            <w:pPr>
              <w:jc w:val="right"/>
            </w:pPr>
            <w:r w:rsidRPr="0065242E">
              <w:t>37.5%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2B533E" w14:textId="77777777" w:rsidR="00934F2F" w:rsidRPr="0065242E" w:rsidRDefault="00934F2F" w:rsidP="00AC6482">
            <w:pPr>
              <w:jc w:val="right"/>
            </w:pPr>
            <w:r w:rsidRPr="0065242E">
              <w:t>25.5%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256A89" w14:textId="77777777" w:rsidR="00934F2F" w:rsidRPr="0065242E" w:rsidRDefault="00934F2F" w:rsidP="00AC6482">
            <w:pPr>
              <w:jc w:val="right"/>
            </w:pPr>
            <w:r w:rsidRPr="0065242E">
              <w:t>37.9%</w:t>
            </w:r>
          </w:p>
        </w:tc>
      </w:tr>
      <w:tr w:rsidR="00934F2F" w:rsidRPr="0065242E" w14:paraId="343FCECA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8F7469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71B0C5" w14:textId="77777777" w:rsidR="00934F2F" w:rsidRPr="0065242E" w:rsidRDefault="00934F2F" w:rsidP="00AC6482">
            <w:r w:rsidRPr="0065242E">
              <w:t>≥40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973A1F" w14:textId="77777777" w:rsidR="00934F2F" w:rsidRPr="0065242E" w:rsidRDefault="00934F2F" w:rsidP="00AC6482">
            <w:pPr>
              <w:jc w:val="right"/>
            </w:pPr>
            <w:r w:rsidRPr="0065242E">
              <w:t>9.3%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9DBF2E" w14:textId="77777777" w:rsidR="00934F2F" w:rsidRPr="0065242E" w:rsidRDefault="00934F2F" w:rsidP="00AC6482">
            <w:pPr>
              <w:jc w:val="right"/>
            </w:pPr>
            <w:r w:rsidRPr="0065242E">
              <w:t>2.0%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BC34BC" w14:textId="77777777" w:rsidR="00934F2F" w:rsidRPr="0065242E" w:rsidRDefault="00934F2F" w:rsidP="00AC6482">
            <w:pPr>
              <w:jc w:val="right"/>
            </w:pPr>
            <w:r w:rsidRPr="0065242E">
              <w:t>19.2%</w:t>
            </w:r>
          </w:p>
        </w:tc>
      </w:tr>
      <w:tr w:rsidR="00934F2F" w:rsidRPr="0065242E" w14:paraId="3FE65D49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0EECE198" w14:textId="77777777" w:rsidR="00934F2F" w:rsidRPr="0065242E" w:rsidRDefault="00934F2F" w:rsidP="00AC6482">
            <w:r w:rsidRPr="0065242E">
              <w:t xml:space="preserve">distance to MRT (km) </w:t>
            </w:r>
            <w:r w:rsidRPr="0065242E">
              <w:rPr>
                <w:vertAlign w:val="superscript"/>
              </w:rPr>
              <w:t>b)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30973F43" w14:textId="77777777" w:rsidR="00934F2F" w:rsidRPr="0065242E" w:rsidRDefault="00934F2F" w:rsidP="00AC6482">
            <w:r w:rsidRPr="0065242E">
              <w:t>&lt;0.5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3562CC46" w14:textId="77777777" w:rsidR="00934F2F" w:rsidRPr="0065242E" w:rsidRDefault="00934F2F" w:rsidP="00AC6482">
            <w:pPr>
              <w:jc w:val="right"/>
            </w:pPr>
            <w:r w:rsidRPr="0065242E">
              <w:t>5.0%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2A437897" w14:textId="77777777" w:rsidR="00934F2F" w:rsidRPr="0065242E" w:rsidRDefault="00934F2F" w:rsidP="00AC6482">
            <w:pPr>
              <w:jc w:val="right"/>
            </w:pPr>
            <w:r w:rsidRPr="0065242E">
              <w:t>9.0%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7976068E" w14:textId="77777777" w:rsidR="00934F2F" w:rsidRPr="0065242E" w:rsidRDefault="00934F2F" w:rsidP="00AC6482">
            <w:pPr>
              <w:jc w:val="right"/>
            </w:pPr>
            <w:r w:rsidRPr="0065242E">
              <w:t>28.7%</w:t>
            </w:r>
          </w:p>
        </w:tc>
      </w:tr>
      <w:tr w:rsidR="00934F2F" w:rsidRPr="0065242E" w14:paraId="1B793678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95A259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81E83B" w14:textId="77777777" w:rsidR="00934F2F" w:rsidRPr="0065242E" w:rsidRDefault="00934F2F" w:rsidP="00AC6482">
            <w:r w:rsidRPr="0065242E">
              <w:t>0.5 - &lt;1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B6E63D" w14:textId="77777777" w:rsidR="00934F2F" w:rsidRPr="0065242E" w:rsidRDefault="00934F2F" w:rsidP="00AC6482">
            <w:pPr>
              <w:jc w:val="right"/>
            </w:pPr>
            <w:r w:rsidRPr="0065242E">
              <w:t>9.7%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ABA4F4" w14:textId="77777777" w:rsidR="00934F2F" w:rsidRPr="0065242E" w:rsidRDefault="00934F2F" w:rsidP="00AC6482">
            <w:pPr>
              <w:jc w:val="right"/>
            </w:pPr>
            <w:r w:rsidRPr="0065242E">
              <w:t>24.5%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3E29C" w14:textId="77777777" w:rsidR="00934F2F" w:rsidRPr="0065242E" w:rsidRDefault="00934F2F" w:rsidP="00AC6482">
            <w:pPr>
              <w:jc w:val="right"/>
            </w:pPr>
            <w:r w:rsidRPr="0065242E">
              <w:t>24.3%</w:t>
            </w:r>
          </w:p>
        </w:tc>
      </w:tr>
      <w:tr w:rsidR="00934F2F" w:rsidRPr="0065242E" w14:paraId="6FE4BB19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2B4B20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EDC092" w14:textId="77777777" w:rsidR="00934F2F" w:rsidRPr="0065242E" w:rsidRDefault="00934F2F" w:rsidP="00AC6482">
            <w:r w:rsidRPr="0065242E">
              <w:t>1 - &lt;2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0198D9" w14:textId="77777777" w:rsidR="00934F2F" w:rsidRPr="0065242E" w:rsidRDefault="00934F2F" w:rsidP="00AC6482">
            <w:pPr>
              <w:jc w:val="right"/>
            </w:pPr>
            <w:r w:rsidRPr="0065242E">
              <w:t>19.3%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51A7AF" w14:textId="77777777" w:rsidR="00934F2F" w:rsidRPr="0065242E" w:rsidRDefault="00934F2F" w:rsidP="00AC6482">
            <w:pPr>
              <w:jc w:val="right"/>
            </w:pPr>
            <w:r w:rsidRPr="0065242E">
              <w:t>19.0%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9A98CD" w14:textId="77777777" w:rsidR="00934F2F" w:rsidRPr="0065242E" w:rsidRDefault="00934F2F" w:rsidP="00AC6482">
            <w:pPr>
              <w:jc w:val="right"/>
            </w:pPr>
            <w:r w:rsidRPr="0065242E">
              <w:t>27.5%</w:t>
            </w:r>
          </w:p>
        </w:tc>
      </w:tr>
      <w:tr w:rsidR="00934F2F" w:rsidRPr="0065242E" w14:paraId="46484212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EAAAFD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AE7DF5" w14:textId="77777777" w:rsidR="00934F2F" w:rsidRPr="0065242E" w:rsidRDefault="00934F2F" w:rsidP="00AC6482">
            <w:r w:rsidRPr="0065242E">
              <w:t>2 - &lt;5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22F5E0" w14:textId="77777777" w:rsidR="00934F2F" w:rsidRPr="0065242E" w:rsidRDefault="00934F2F" w:rsidP="00AC6482">
            <w:pPr>
              <w:jc w:val="right"/>
            </w:pPr>
            <w:r w:rsidRPr="0065242E">
              <w:t>44.8%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3F4BFF" w14:textId="77777777" w:rsidR="00934F2F" w:rsidRPr="0065242E" w:rsidRDefault="00934F2F" w:rsidP="00AC6482">
            <w:pPr>
              <w:jc w:val="right"/>
            </w:pPr>
            <w:r w:rsidRPr="0065242E">
              <w:t>22.3%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534343" w14:textId="77777777" w:rsidR="00934F2F" w:rsidRPr="0065242E" w:rsidRDefault="00934F2F" w:rsidP="00AC6482">
            <w:pPr>
              <w:jc w:val="right"/>
            </w:pPr>
            <w:r w:rsidRPr="0065242E">
              <w:t>15.8%</w:t>
            </w:r>
          </w:p>
        </w:tc>
      </w:tr>
      <w:tr w:rsidR="00934F2F" w:rsidRPr="0065242E" w14:paraId="5B513DF2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1B997C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DC07F0" w14:textId="77777777" w:rsidR="00934F2F" w:rsidRPr="0065242E" w:rsidRDefault="00934F2F" w:rsidP="00AC6482">
            <w:r w:rsidRPr="0065242E">
              <w:t>≥5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292627" w14:textId="77777777" w:rsidR="00934F2F" w:rsidRPr="0065242E" w:rsidRDefault="00934F2F" w:rsidP="00AC6482">
            <w:pPr>
              <w:jc w:val="right"/>
            </w:pPr>
            <w:r w:rsidRPr="0065242E">
              <w:t>21.2%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FA98733" w14:textId="77777777" w:rsidR="00934F2F" w:rsidRPr="0065242E" w:rsidRDefault="00934F2F" w:rsidP="00AC6482">
            <w:pPr>
              <w:jc w:val="right"/>
            </w:pPr>
            <w:r w:rsidRPr="0065242E">
              <w:t>25.2%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B491FB" w14:textId="77777777" w:rsidR="00934F2F" w:rsidRPr="0065242E" w:rsidRDefault="00934F2F" w:rsidP="00AC6482">
            <w:pPr>
              <w:jc w:val="right"/>
            </w:pPr>
            <w:r w:rsidRPr="0065242E">
              <w:t>3.8%</w:t>
            </w:r>
          </w:p>
        </w:tc>
      </w:tr>
      <w:tr w:rsidR="00934F2F" w:rsidRPr="0065242E" w14:paraId="39BDD5ED" w14:textId="77777777" w:rsidTr="00AC6482">
        <w:trPr>
          <w:trHeight w:val="32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56C25F1B" w14:textId="77777777" w:rsidR="00934F2F" w:rsidRPr="0065242E" w:rsidRDefault="00934F2F" w:rsidP="00AC6482">
            <w:r w:rsidRPr="0065242E">
              <w:t>time to shopping area (min)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79C761C0" w14:textId="77777777" w:rsidR="00934F2F" w:rsidRPr="0065242E" w:rsidRDefault="00934F2F" w:rsidP="00AC6482">
            <w:r w:rsidRPr="0065242E">
              <w:t>&gt;30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70FE05DF" w14:textId="77777777" w:rsidR="00934F2F" w:rsidRPr="0065242E" w:rsidRDefault="00934F2F" w:rsidP="00AC6482">
            <w:pPr>
              <w:jc w:val="right"/>
            </w:pPr>
            <w:r w:rsidRPr="0065242E">
              <w:t>54.5%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5C34376B" w14:textId="77777777" w:rsidR="00934F2F" w:rsidRPr="0065242E" w:rsidRDefault="00934F2F" w:rsidP="00AC6482">
            <w:pPr>
              <w:jc w:val="right"/>
            </w:pPr>
            <w:r w:rsidRPr="0065242E">
              <w:t>7.3%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5A3EE401" w14:textId="77777777" w:rsidR="00934F2F" w:rsidRPr="0065242E" w:rsidRDefault="00934F2F" w:rsidP="00AC6482">
            <w:pPr>
              <w:jc w:val="right"/>
            </w:pPr>
            <w:r w:rsidRPr="0065242E">
              <w:t>3.1%</w:t>
            </w:r>
          </w:p>
        </w:tc>
      </w:tr>
      <w:tr w:rsidR="00934F2F" w:rsidRPr="0065242E" w14:paraId="49A844E0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C4BD97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A1131" w14:textId="77777777" w:rsidR="00934F2F" w:rsidRPr="0065242E" w:rsidRDefault="00934F2F" w:rsidP="00AC6482">
            <w:r w:rsidRPr="0065242E">
              <w:t>30 - &gt;20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623547" w14:textId="77777777" w:rsidR="00934F2F" w:rsidRPr="0065242E" w:rsidRDefault="00934F2F" w:rsidP="00AC6482">
            <w:pPr>
              <w:jc w:val="right"/>
            </w:pPr>
            <w:r w:rsidRPr="0065242E">
              <w:t>30.2%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A2D2A3" w14:textId="77777777" w:rsidR="00934F2F" w:rsidRPr="0065242E" w:rsidRDefault="00934F2F" w:rsidP="00AC6482">
            <w:pPr>
              <w:jc w:val="right"/>
            </w:pPr>
            <w:r w:rsidRPr="0065242E">
              <w:t>27.7%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779BFF" w14:textId="77777777" w:rsidR="00934F2F" w:rsidRPr="0065242E" w:rsidRDefault="00934F2F" w:rsidP="00AC6482">
            <w:pPr>
              <w:jc w:val="right"/>
            </w:pPr>
            <w:r w:rsidRPr="0065242E">
              <w:t>20.5%</w:t>
            </w:r>
          </w:p>
        </w:tc>
      </w:tr>
      <w:tr w:rsidR="00934F2F" w:rsidRPr="0065242E" w14:paraId="4F730467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672AE7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5BE7B" w14:textId="77777777" w:rsidR="00934F2F" w:rsidRPr="0065242E" w:rsidRDefault="00934F2F" w:rsidP="00AC6482">
            <w:r w:rsidRPr="0065242E">
              <w:t>20 - &gt;10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C93101" w14:textId="77777777" w:rsidR="00934F2F" w:rsidRPr="0065242E" w:rsidRDefault="00934F2F" w:rsidP="00AC6482">
            <w:pPr>
              <w:jc w:val="right"/>
            </w:pPr>
            <w:r w:rsidRPr="0065242E">
              <w:t>13.2%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69AF4E" w14:textId="77777777" w:rsidR="00934F2F" w:rsidRPr="0065242E" w:rsidRDefault="00934F2F" w:rsidP="00AC6482">
            <w:pPr>
              <w:jc w:val="right"/>
            </w:pPr>
            <w:r w:rsidRPr="0065242E">
              <w:t>62.3%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7292A" w14:textId="77777777" w:rsidR="00934F2F" w:rsidRPr="0065242E" w:rsidRDefault="00934F2F" w:rsidP="00AC6482">
            <w:pPr>
              <w:jc w:val="right"/>
            </w:pPr>
            <w:r w:rsidRPr="0065242E">
              <w:t>62.2%</w:t>
            </w:r>
          </w:p>
        </w:tc>
      </w:tr>
      <w:tr w:rsidR="00934F2F" w:rsidRPr="0065242E" w14:paraId="0717491A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7CBC96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5B7FCF" w14:textId="77777777" w:rsidR="00934F2F" w:rsidRPr="0065242E" w:rsidRDefault="00934F2F" w:rsidP="00AC6482">
            <w:r w:rsidRPr="0065242E">
              <w:t>≤10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4326AE" w14:textId="77777777" w:rsidR="00934F2F" w:rsidRPr="0065242E" w:rsidRDefault="00934F2F" w:rsidP="00AC6482">
            <w:pPr>
              <w:jc w:val="right"/>
            </w:pPr>
            <w:r w:rsidRPr="0065242E">
              <w:t>2.2%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2FAC10" w14:textId="77777777" w:rsidR="00934F2F" w:rsidRPr="0065242E" w:rsidRDefault="00934F2F" w:rsidP="00AC6482">
            <w:pPr>
              <w:jc w:val="right"/>
            </w:pPr>
            <w:r w:rsidRPr="0065242E">
              <w:t>2.7%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E8CD43" w14:textId="77777777" w:rsidR="00934F2F" w:rsidRPr="0065242E" w:rsidRDefault="00934F2F" w:rsidP="00AC6482">
            <w:pPr>
              <w:jc w:val="right"/>
            </w:pPr>
            <w:r w:rsidRPr="0065242E">
              <w:t>14.2%</w:t>
            </w:r>
          </w:p>
        </w:tc>
      </w:tr>
      <w:tr w:rsidR="00934F2F" w:rsidRPr="0065242E" w14:paraId="0FFD587F" w14:textId="77777777" w:rsidTr="00AC6482">
        <w:trPr>
          <w:trHeight w:val="390"/>
        </w:trPr>
        <w:tc>
          <w:tcPr>
            <w:tcW w:w="2584" w:type="dxa"/>
            <w:tcBorders>
              <w:bottom w:val="nil"/>
            </w:tcBorders>
            <w:noWrap/>
            <w:vAlign w:val="center"/>
            <w:hideMark/>
          </w:tcPr>
          <w:p w14:paraId="235C220B" w14:textId="77777777" w:rsidR="00934F2F" w:rsidRPr="0065242E" w:rsidRDefault="00934F2F" w:rsidP="00AC6482">
            <w:r w:rsidRPr="0065242E">
              <w:t xml:space="preserve">residence </w:t>
            </w:r>
            <w:r w:rsidRPr="0065242E">
              <w:rPr>
                <w:vertAlign w:val="superscript"/>
              </w:rPr>
              <w:t>c)</w:t>
            </w:r>
          </w:p>
        </w:tc>
        <w:tc>
          <w:tcPr>
            <w:tcW w:w="2014" w:type="dxa"/>
            <w:tcBorders>
              <w:bottom w:val="nil"/>
            </w:tcBorders>
            <w:noWrap/>
            <w:vAlign w:val="center"/>
            <w:hideMark/>
          </w:tcPr>
          <w:p w14:paraId="2092D14C" w14:textId="77777777" w:rsidR="00934F2F" w:rsidRPr="0065242E" w:rsidRDefault="00934F2F" w:rsidP="00AC6482">
            <w:r w:rsidRPr="0065242E">
              <w:t>slum</w:t>
            </w:r>
          </w:p>
        </w:tc>
        <w:tc>
          <w:tcPr>
            <w:tcW w:w="1618" w:type="dxa"/>
            <w:tcBorders>
              <w:bottom w:val="nil"/>
            </w:tcBorders>
            <w:noWrap/>
            <w:vAlign w:val="center"/>
            <w:hideMark/>
          </w:tcPr>
          <w:p w14:paraId="3B740728" w14:textId="77777777" w:rsidR="00934F2F" w:rsidRPr="0065242E" w:rsidRDefault="00934F2F" w:rsidP="00AC6482">
            <w:pPr>
              <w:jc w:val="right"/>
            </w:pPr>
            <w:r w:rsidRPr="0065242E">
              <w:t>19.4%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6D436C5C" w14:textId="77777777" w:rsidR="00934F2F" w:rsidRPr="0065242E" w:rsidRDefault="00934F2F" w:rsidP="00AC6482">
            <w:pPr>
              <w:jc w:val="right"/>
            </w:pPr>
            <w:r w:rsidRPr="0065242E">
              <w:t>5.4%</w:t>
            </w:r>
          </w:p>
        </w:tc>
        <w:tc>
          <w:tcPr>
            <w:tcW w:w="1300" w:type="dxa"/>
            <w:tcBorders>
              <w:bottom w:val="nil"/>
            </w:tcBorders>
            <w:noWrap/>
            <w:vAlign w:val="center"/>
            <w:hideMark/>
          </w:tcPr>
          <w:p w14:paraId="4EA0F5AA" w14:textId="77777777" w:rsidR="00934F2F" w:rsidRPr="0065242E" w:rsidRDefault="00934F2F" w:rsidP="00AC6482">
            <w:pPr>
              <w:jc w:val="right"/>
            </w:pPr>
            <w:r w:rsidRPr="0065242E">
              <w:t>27.0%</w:t>
            </w:r>
          </w:p>
        </w:tc>
      </w:tr>
      <w:tr w:rsidR="00934F2F" w:rsidRPr="0065242E" w14:paraId="7000A337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38BC88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A57051" w14:textId="77777777" w:rsidR="00934F2F" w:rsidRPr="0065242E" w:rsidRDefault="00934F2F" w:rsidP="00AC6482">
            <w:r w:rsidRPr="0065242E">
              <w:t>apartment block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2B522" w14:textId="77777777" w:rsidR="00934F2F" w:rsidRPr="0065242E" w:rsidRDefault="00934F2F" w:rsidP="00AC6482">
            <w:pPr>
              <w:jc w:val="right"/>
            </w:pPr>
            <w:r w:rsidRPr="0065242E">
              <w:t>1.7%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7BADCC" w14:textId="77777777" w:rsidR="00934F2F" w:rsidRPr="0065242E" w:rsidRDefault="00934F2F" w:rsidP="00AC6482">
            <w:pPr>
              <w:jc w:val="right"/>
            </w:pPr>
            <w:r w:rsidRPr="0065242E">
              <w:t>42.2%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C739C9" w14:textId="77777777" w:rsidR="00934F2F" w:rsidRPr="0065242E" w:rsidRDefault="00934F2F" w:rsidP="00AC6482">
            <w:pPr>
              <w:jc w:val="right"/>
            </w:pPr>
            <w:r w:rsidRPr="0065242E">
              <w:t>32.4%</w:t>
            </w:r>
          </w:p>
        </w:tc>
      </w:tr>
      <w:tr w:rsidR="00934F2F" w:rsidRPr="0065242E" w14:paraId="06F02CCD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274F5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CDBE23" w14:textId="77777777" w:rsidR="00934F2F" w:rsidRPr="0065242E" w:rsidRDefault="00934F2F" w:rsidP="00AC6482">
            <w:r w:rsidRPr="0065242E">
              <w:t>unguarded house</w:t>
            </w:r>
          </w:p>
        </w:tc>
        <w:tc>
          <w:tcPr>
            <w:tcW w:w="161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04041A" w14:textId="77777777" w:rsidR="00934F2F" w:rsidRPr="0065242E" w:rsidRDefault="00934F2F" w:rsidP="00AC6482">
            <w:pPr>
              <w:jc w:val="right"/>
            </w:pPr>
            <w:r w:rsidRPr="0065242E">
              <w:t>77.3%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1E4CE8" w14:textId="77777777" w:rsidR="00934F2F" w:rsidRPr="0065242E" w:rsidRDefault="00934F2F" w:rsidP="00AC6482">
            <w:pPr>
              <w:jc w:val="right"/>
            </w:pPr>
            <w:r w:rsidRPr="0065242E">
              <w:t>32.5%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795CF6" w14:textId="77777777" w:rsidR="00934F2F" w:rsidRPr="0065242E" w:rsidRDefault="00934F2F" w:rsidP="00AC6482">
            <w:pPr>
              <w:jc w:val="right"/>
            </w:pPr>
            <w:r w:rsidRPr="0065242E">
              <w:t>28.2%</w:t>
            </w:r>
          </w:p>
        </w:tc>
      </w:tr>
      <w:tr w:rsidR="00934F2F" w:rsidRPr="0065242E" w14:paraId="52A35765" w14:textId="77777777" w:rsidTr="00AC6482">
        <w:trPr>
          <w:trHeight w:val="320"/>
        </w:trPr>
        <w:tc>
          <w:tcPr>
            <w:tcW w:w="258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F36972" w14:textId="77777777" w:rsidR="00934F2F" w:rsidRPr="0065242E" w:rsidRDefault="00934F2F" w:rsidP="00AC6482"/>
        </w:tc>
        <w:tc>
          <w:tcPr>
            <w:tcW w:w="20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21245E" w14:textId="77777777" w:rsidR="00934F2F" w:rsidRPr="0065242E" w:rsidRDefault="00934F2F" w:rsidP="00AC6482">
            <w:r w:rsidRPr="0065242E">
              <w:t>guarded properties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7CD77B" w14:textId="77777777" w:rsidR="00934F2F" w:rsidRPr="0065242E" w:rsidRDefault="00934F2F" w:rsidP="00AC6482">
            <w:pPr>
              <w:jc w:val="right"/>
            </w:pPr>
            <w:r w:rsidRPr="0065242E">
              <w:t>1.6%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635F68" w14:textId="77777777" w:rsidR="00934F2F" w:rsidRPr="0065242E" w:rsidRDefault="00934F2F" w:rsidP="00AC6482">
            <w:pPr>
              <w:jc w:val="right"/>
            </w:pPr>
            <w:r w:rsidRPr="0065242E">
              <w:t>19.8%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4FDB78" w14:textId="77777777" w:rsidR="00934F2F" w:rsidRPr="0065242E" w:rsidRDefault="00934F2F" w:rsidP="00AC6482">
            <w:pPr>
              <w:jc w:val="right"/>
            </w:pPr>
            <w:r w:rsidRPr="0065242E">
              <w:t>12.5%</w:t>
            </w:r>
          </w:p>
        </w:tc>
      </w:tr>
      <w:tr w:rsidR="00934F2F" w:rsidRPr="0065242E" w14:paraId="7F39620C" w14:textId="77777777" w:rsidTr="00AC6482">
        <w:trPr>
          <w:trHeight w:val="320"/>
        </w:trPr>
        <w:tc>
          <w:tcPr>
            <w:tcW w:w="8816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F5C9E7F" w14:textId="77777777" w:rsidR="00934F2F" w:rsidRPr="0065242E" w:rsidRDefault="00934F2F" w:rsidP="00AC6482">
            <w:pPr>
              <w:rPr>
                <w:sz w:val="16"/>
              </w:rPr>
            </w:pPr>
            <w:r w:rsidRPr="0065242E">
              <w:rPr>
                <w:sz w:val="16"/>
              </w:rPr>
              <w:t xml:space="preserve">a) Social status categories were based on an occupational household grid. Categories range from A (highest) to E (lowest). In São Paulo and Istanbul, the category C was further divided into C1 and C2.  b) Based on </w:t>
            </w:r>
            <w:proofErr w:type="spellStart"/>
            <w:r w:rsidRPr="0065242E">
              <w:rPr>
                <w:sz w:val="16"/>
              </w:rPr>
              <w:t>OpenTripPlanner</w:t>
            </w:r>
            <w:proofErr w:type="spellEnd"/>
            <w:r w:rsidRPr="0065242E">
              <w:rPr>
                <w:sz w:val="16"/>
              </w:rPr>
              <w:t xml:space="preserve"> distance along the walkable road network. CBD was defined as </w:t>
            </w:r>
            <w:proofErr w:type="spellStart"/>
            <w:r w:rsidRPr="0065242E">
              <w:rPr>
                <w:sz w:val="16"/>
              </w:rPr>
              <w:t>Praça</w:t>
            </w:r>
            <w:proofErr w:type="spellEnd"/>
            <w:r w:rsidRPr="0065242E">
              <w:rPr>
                <w:sz w:val="16"/>
              </w:rPr>
              <w:t xml:space="preserve"> de </w:t>
            </w:r>
            <w:proofErr w:type="spellStart"/>
            <w:r w:rsidRPr="0065242E">
              <w:rPr>
                <w:sz w:val="16"/>
              </w:rPr>
              <w:t>Sé</w:t>
            </w:r>
            <w:proofErr w:type="spellEnd"/>
            <w:r w:rsidRPr="0065242E">
              <w:rPr>
                <w:sz w:val="16"/>
              </w:rPr>
              <w:t xml:space="preserve"> for São Paulo, </w:t>
            </w:r>
            <w:proofErr w:type="spellStart"/>
            <w:r w:rsidRPr="0065242E">
              <w:rPr>
                <w:sz w:val="16"/>
              </w:rPr>
              <w:t>Taksim</w:t>
            </w:r>
            <w:proofErr w:type="spellEnd"/>
            <w:r w:rsidRPr="0065242E">
              <w:rPr>
                <w:sz w:val="16"/>
              </w:rPr>
              <w:t xml:space="preserve"> Square (European side) and </w:t>
            </w:r>
            <w:proofErr w:type="spellStart"/>
            <w:r w:rsidRPr="0065242E">
              <w:rPr>
                <w:sz w:val="16"/>
              </w:rPr>
              <w:t>Kadıköy</w:t>
            </w:r>
            <w:proofErr w:type="spellEnd"/>
            <w:r w:rsidRPr="0065242E">
              <w:rPr>
                <w:sz w:val="16"/>
              </w:rPr>
              <w:t xml:space="preserve"> Ferry (Asian side) for Istanbul and </w:t>
            </w:r>
            <w:proofErr w:type="spellStart"/>
            <w:r w:rsidRPr="0065242E">
              <w:rPr>
                <w:sz w:val="16"/>
              </w:rPr>
              <w:t>Chhatrapati</w:t>
            </w:r>
            <w:proofErr w:type="spellEnd"/>
            <w:r w:rsidRPr="0065242E">
              <w:rPr>
                <w:sz w:val="16"/>
              </w:rPr>
              <w:t xml:space="preserve"> </w:t>
            </w:r>
            <w:proofErr w:type="spellStart"/>
            <w:r w:rsidRPr="0065242E">
              <w:rPr>
                <w:sz w:val="16"/>
              </w:rPr>
              <w:t>Shivaji</w:t>
            </w:r>
            <w:proofErr w:type="spellEnd"/>
            <w:r w:rsidRPr="0065242E">
              <w:rPr>
                <w:sz w:val="16"/>
              </w:rPr>
              <w:t xml:space="preserve"> Terminus in Mumbai.  c) In São Paulo, interviewers used ‘house in an urbanised area’ as a general option, which includes different typologies including apartment blocks. The brief for interviewers was adjusted in the following surveys in Istanbul and Mumbai.  </w:t>
            </w:r>
          </w:p>
        </w:tc>
      </w:tr>
    </w:tbl>
    <w:p w14:paraId="4C84D7BE" w14:textId="77777777" w:rsidR="00934F2F" w:rsidRDefault="00934F2F" w:rsidP="00934F2F"/>
    <w:p w14:paraId="037078AD" w14:textId="03AFF1D8" w:rsidR="00934F2F" w:rsidRDefault="00934F2F" w:rsidP="00934F2F">
      <w:pPr>
        <w:pStyle w:val="Heading2"/>
      </w:pPr>
      <w:r w:rsidRPr="00934F2F">
        <w:t>Defining land use diversity</w:t>
      </w:r>
    </w:p>
    <w:p w14:paraId="77B68762" w14:textId="238A438D" w:rsidR="00934F2F" w:rsidRDefault="00934F2F" w:rsidP="00934F2F">
      <w:r w:rsidRPr="0065242E">
        <w:t>In the absence of official land use data, a land use diversity measure was derived from the survey. The survey asked about a respondent</w:t>
      </w:r>
      <w:r w:rsidR="00BA00A0">
        <w:t>’</w:t>
      </w:r>
      <w:bookmarkStart w:id="0" w:name="_GoBack"/>
      <w:bookmarkEnd w:id="0"/>
      <w:r w:rsidRPr="0065242E">
        <w:t xml:space="preserve">s travel time to a range of amenities: shopping areas / markets, parks, hospitals, public offices, cinemas, theatres and libraries. In all cities, this had a high number of missing. The variable with the lowest number of </w:t>
      </w:r>
      <w:proofErr w:type="spellStart"/>
      <w:r w:rsidRPr="0065242E">
        <w:t>missings</w:t>
      </w:r>
      <w:proofErr w:type="spellEnd"/>
      <w:r w:rsidRPr="0065242E">
        <w:t xml:space="preserve"> was distance to shopping areas or markets in all cities. Principal Components analysis applied to four amenities with few </w:t>
      </w:r>
      <w:proofErr w:type="spellStart"/>
      <w:r w:rsidRPr="0065242E">
        <w:t>missings</w:t>
      </w:r>
      <w:proofErr w:type="spellEnd"/>
      <w:r w:rsidRPr="0065242E">
        <w:t xml:space="preserve"> reveals that distance to shopping areas was highly correlated with other amenities (Table </w:t>
      </w:r>
      <w:r>
        <w:t>S2</w:t>
      </w:r>
      <w:r w:rsidRPr="0065242E">
        <w:t>).</w:t>
      </w:r>
    </w:p>
    <w:p w14:paraId="1182A7B1" w14:textId="29831F5E" w:rsidR="00934F2F" w:rsidRDefault="00934F2F" w:rsidP="00934F2F">
      <w:pPr>
        <w:pStyle w:val="Caption"/>
      </w:pPr>
      <w:r w:rsidRPr="00934F2F">
        <w:t>Table S2. Principal Components of distance to selected amenities.</w:t>
      </w:r>
    </w:p>
    <w:tbl>
      <w:tblPr>
        <w:tblW w:w="8679" w:type="dxa"/>
        <w:tblInd w:w="4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42"/>
        <w:gridCol w:w="1049"/>
        <w:gridCol w:w="994"/>
        <w:gridCol w:w="994"/>
      </w:tblGrid>
      <w:tr w:rsidR="00934F2F" w:rsidRPr="0065242E" w14:paraId="3316D172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6BDA19E5" w14:textId="77777777" w:rsidR="00934F2F" w:rsidRPr="0065242E" w:rsidRDefault="00934F2F" w:rsidP="00AC64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65242E">
              <w:rPr>
                <w:rFonts w:eastAsia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29205037" w14:textId="77777777" w:rsidR="00934F2F" w:rsidRPr="0065242E" w:rsidRDefault="00934F2F" w:rsidP="00AC64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242E">
              <w:rPr>
                <w:rFonts w:eastAsia="Times New Roman"/>
                <w:b/>
                <w:bCs/>
                <w:sz w:val="20"/>
                <w:szCs w:val="20"/>
              </w:rPr>
              <w:t>São Paulo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57B228B8" w14:textId="77777777" w:rsidR="00934F2F" w:rsidRPr="0065242E" w:rsidRDefault="00934F2F" w:rsidP="00AC64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242E">
              <w:rPr>
                <w:rFonts w:eastAsia="Times New Roman"/>
                <w:b/>
                <w:bCs/>
                <w:sz w:val="20"/>
                <w:szCs w:val="20"/>
              </w:rPr>
              <w:t>Istanbul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68D0F368" w14:textId="77777777" w:rsidR="00934F2F" w:rsidRPr="0065242E" w:rsidRDefault="00934F2F" w:rsidP="00AC648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5242E">
              <w:rPr>
                <w:rFonts w:eastAsia="Times New Roman"/>
                <w:b/>
                <w:bCs/>
                <w:sz w:val="20"/>
                <w:szCs w:val="20"/>
              </w:rPr>
              <w:t>Mumbai</w:t>
            </w:r>
          </w:p>
        </w:tc>
      </w:tr>
      <w:tr w:rsidR="00934F2F" w:rsidRPr="0065242E" w14:paraId="15935AB6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DD523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Distance to cinemas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6792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.880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2D4C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D9B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.596</w:t>
            </w:r>
          </w:p>
        </w:tc>
      </w:tr>
      <w:tr w:rsidR="00934F2F" w:rsidRPr="0065242E" w14:paraId="49839740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BC511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Distance to hospitals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BEB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.340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220C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.635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A82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.797</w:t>
            </w:r>
          </w:p>
        </w:tc>
      </w:tr>
      <w:tr w:rsidR="00934F2F" w:rsidRPr="0065242E" w14:paraId="3EC7C6E7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84E4CFD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Distance to public offices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5E7A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.361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3C9E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.580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727C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.529</w:t>
            </w:r>
          </w:p>
        </w:tc>
      </w:tr>
      <w:tr w:rsidR="00934F2F" w:rsidRPr="0065242E" w14:paraId="6D11B99C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66D2E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Distance to shopping areas or markets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72859" w14:textId="77777777" w:rsidR="00934F2F" w:rsidRPr="0065242E" w:rsidRDefault="00934F2F" w:rsidP="00AC6482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b/>
                <w:color w:val="000000"/>
                <w:sz w:val="20"/>
                <w:szCs w:val="20"/>
              </w:rPr>
              <w:t>.971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39F60" w14:textId="77777777" w:rsidR="00934F2F" w:rsidRPr="0065242E" w:rsidRDefault="00934F2F" w:rsidP="00AC6482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65242E">
              <w:rPr>
                <w:rFonts w:eastAsia="Times New Roman"/>
                <w:b/>
                <w:color w:val="000000"/>
                <w:sz w:val="20"/>
                <w:szCs w:val="20"/>
              </w:rPr>
              <w:t>.616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5CC76" w14:textId="77777777" w:rsidR="00934F2F" w:rsidRPr="0065242E" w:rsidRDefault="00934F2F" w:rsidP="00AC6482">
            <w:pPr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65242E">
              <w:rPr>
                <w:rFonts w:eastAsia="Times New Roman"/>
                <w:b/>
                <w:color w:val="000000"/>
                <w:sz w:val="20"/>
                <w:szCs w:val="20"/>
              </w:rPr>
              <w:t>.547</w:t>
            </w:r>
          </w:p>
        </w:tc>
      </w:tr>
      <w:tr w:rsidR="00934F2F" w:rsidRPr="0065242E" w14:paraId="17D89F68" w14:textId="77777777" w:rsidTr="00934F2F">
        <w:trPr>
          <w:trHeight w:val="280"/>
        </w:trPr>
        <w:tc>
          <w:tcPr>
            <w:tcW w:w="5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A8CCE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 xml:space="preserve">Eigenvalue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3D9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1.963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CB7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1439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1.569</w:t>
            </w:r>
          </w:p>
        </w:tc>
      </w:tr>
      <w:tr w:rsidR="00934F2F" w:rsidRPr="0065242E" w14:paraId="156C35DE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C68244E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Percentage of variance accounted for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C822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.491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ADAB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.399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79ED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.392</w:t>
            </w:r>
          </w:p>
        </w:tc>
      </w:tr>
      <w:tr w:rsidR="00934F2F" w:rsidRPr="0065242E" w14:paraId="41F5FF62" w14:textId="77777777" w:rsidTr="00934F2F">
        <w:trPr>
          <w:trHeight w:val="280"/>
        </w:trPr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5B4509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Solution p-value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45DBD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CCBB0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.013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F0955" w14:textId="77777777" w:rsidR="00934F2F" w:rsidRPr="0065242E" w:rsidRDefault="00934F2F" w:rsidP="00AC648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.666</w:t>
            </w:r>
          </w:p>
        </w:tc>
      </w:tr>
      <w:tr w:rsidR="00934F2F" w:rsidRPr="008F085F" w14:paraId="2F28BD2F" w14:textId="77777777" w:rsidTr="00934F2F">
        <w:trPr>
          <w:trHeight w:val="296"/>
        </w:trPr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533609" w14:textId="77777777" w:rsidR="00934F2F" w:rsidRPr="0065242E" w:rsidRDefault="00934F2F" w:rsidP="00AC64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 xml:space="preserve">N (number of </w:t>
            </w:r>
            <w:proofErr w:type="spellStart"/>
            <w:r w:rsidRPr="0065242E">
              <w:rPr>
                <w:rFonts w:eastAsia="Times New Roman"/>
                <w:color w:val="000000"/>
                <w:sz w:val="20"/>
                <w:szCs w:val="20"/>
              </w:rPr>
              <w:t>neighbourhoods</w:t>
            </w:r>
            <w:proofErr w:type="spellEnd"/>
            <w:r w:rsidRPr="0065242E">
              <w:rPr>
                <w:rFonts w:eastAsia="Times New Roman"/>
                <w:color w:val="000000"/>
                <w:sz w:val="20"/>
                <w:szCs w:val="20"/>
              </w:rPr>
              <w:t xml:space="preserve"> with no missing values)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CAC2C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5D099" w14:textId="77777777" w:rsidR="00934F2F" w:rsidRPr="0065242E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07BC3" w14:textId="77777777" w:rsidR="00934F2F" w:rsidRPr="006E6606" w:rsidRDefault="00934F2F" w:rsidP="00AC648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65242E">
              <w:rPr>
                <w:rFonts w:eastAsia="Times New Roman"/>
                <w:color w:val="000000"/>
                <w:sz w:val="20"/>
                <w:szCs w:val="20"/>
              </w:rPr>
              <w:t>53</w:t>
            </w:r>
          </w:p>
        </w:tc>
      </w:tr>
    </w:tbl>
    <w:p w14:paraId="0A718F2D" w14:textId="77777777" w:rsidR="00934F2F" w:rsidRPr="00934F2F" w:rsidRDefault="00934F2F" w:rsidP="00934F2F"/>
    <w:sectPr w:rsidR="00934F2F" w:rsidRPr="00934F2F" w:rsidSect="00C63D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4D82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E326B8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2422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39A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B905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F0F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FAF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7E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46DE087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754949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DF"/>
    <w:rsid w:val="00017C5E"/>
    <w:rsid w:val="000D1DAE"/>
    <w:rsid w:val="001B52F5"/>
    <w:rsid w:val="002671FC"/>
    <w:rsid w:val="002F3D2C"/>
    <w:rsid w:val="003416D5"/>
    <w:rsid w:val="004A3AEC"/>
    <w:rsid w:val="005568D0"/>
    <w:rsid w:val="006E1114"/>
    <w:rsid w:val="007153DF"/>
    <w:rsid w:val="00733108"/>
    <w:rsid w:val="007A2676"/>
    <w:rsid w:val="0089664E"/>
    <w:rsid w:val="008D48D3"/>
    <w:rsid w:val="00934F2F"/>
    <w:rsid w:val="009652C9"/>
    <w:rsid w:val="009B12FB"/>
    <w:rsid w:val="00AA3F1E"/>
    <w:rsid w:val="00BA00A0"/>
    <w:rsid w:val="00C63D98"/>
    <w:rsid w:val="00D84F0E"/>
    <w:rsid w:val="00F11E5A"/>
    <w:rsid w:val="00FD60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33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140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4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D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3108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B1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2F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D4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34F2F"/>
    <w:pPr>
      <w:spacing w:before="200" w:after="200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F3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34F2F"/>
    <w:rPr>
      <w:rFonts w:ascii="TimesNewRomanPSMT" w:eastAsia="TimesNewRomanPSMT" w:hAnsi="TimesNewRomanPSMT" w:cs="TimesNewRomanPSMT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2649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Supplementary material</vt:lpstr>
      <vt:lpstr>    Full sample statistics of variables used in the model</vt:lpstr>
      <vt:lpstr>    Defining land use diversity</vt:lpstr>
    </vt:vector>
  </TitlesOfParts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Mathison</dc:creator>
  <cp:keywords/>
  <cp:lastModifiedBy>Kandt, Jens</cp:lastModifiedBy>
  <cp:revision>4</cp:revision>
  <dcterms:created xsi:type="dcterms:W3CDTF">2018-07-29T12:40:00Z</dcterms:created>
  <dcterms:modified xsi:type="dcterms:W3CDTF">2018-07-29T16:24:00Z</dcterms:modified>
</cp:coreProperties>
</file>