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256" w:rsidRPr="00545DAC" w:rsidRDefault="00E72734">
      <w:pPr>
        <w:rPr>
          <w:b/>
          <w:sz w:val="24"/>
          <w:szCs w:val="24"/>
        </w:rPr>
      </w:pPr>
      <w:r>
        <w:rPr>
          <w:b/>
          <w:sz w:val="24"/>
          <w:szCs w:val="24"/>
        </w:rPr>
        <w:t>The Challenge of d</w:t>
      </w:r>
      <w:r w:rsidR="00FF1256" w:rsidRPr="00FF1256">
        <w:rPr>
          <w:b/>
          <w:sz w:val="24"/>
          <w:szCs w:val="24"/>
        </w:rPr>
        <w:t xml:space="preserve">elivering the 'D' in Transit Oriented Development: Examining the Town Planning </w:t>
      </w:r>
      <w:r w:rsidR="00161CE4">
        <w:rPr>
          <w:b/>
          <w:sz w:val="24"/>
          <w:szCs w:val="24"/>
        </w:rPr>
        <w:t>contribution</w:t>
      </w:r>
    </w:p>
    <w:p w:rsidR="00252C7C" w:rsidRPr="00252C7C" w:rsidRDefault="00252C7C" w:rsidP="00F97709">
      <w:pPr>
        <w:jc w:val="both"/>
        <w:rPr>
          <w:b/>
          <w:bCs/>
          <w:iCs/>
          <w:sz w:val="24"/>
          <w:szCs w:val="24"/>
        </w:rPr>
      </w:pPr>
      <w:r w:rsidRPr="00252C7C">
        <w:rPr>
          <w:b/>
          <w:bCs/>
          <w:iCs/>
          <w:sz w:val="24"/>
          <w:szCs w:val="24"/>
        </w:rPr>
        <w:t>Abstract</w:t>
      </w:r>
    </w:p>
    <w:p w:rsidR="00F97709" w:rsidRPr="00736BC4" w:rsidRDefault="00BA725D" w:rsidP="00F97709">
      <w:pPr>
        <w:jc w:val="both"/>
        <w:rPr>
          <w:bCs/>
          <w:iCs/>
          <w:sz w:val="24"/>
          <w:szCs w:val="24"/>
        </w:rPr>
      </w:pPr>
      <w:r>
        <w:rPr>
          <w:bCs/>
          <w:iCs/>
          <w:sz w:val="24"/>
          <w:szCs w:val="24"/>
        </w:rPr>
        <w:t>T</w:t>
      </w:r>
      <w:r w:rsidR="00F97709" w:rsidRPr="00736BC4">
        <w:rPr>
          <w:bCs/>
          <w:iCs/>
          <w:sz w:val="24"/>
          <w:szCs w:val="24"/>
        </w:rPr>
        <w:t xml:space="preserve">his paper </w:t>
      </w:r>
      <w:r>
        <w:rPr>
          <w:bCs/>
          <w:iCs/>
          <w:sz w:val="24"/>
          <w:szCs w:val="24"/>
        </w:rPr>
        <w:t xml:space="preserve">examines the extent to which different town planning </w:t>
      </w:r>
      <w:r w:rsidR="006B029A">
        <w:rPr>
          <w:bCs/>
          <w:iCs/>
          <w:sz w:val="24"/>
          <w:szCs w:val="24"/>
        </w:rPr>
        <w:t>approaches</w:t>
      </w:r>
      <w:r>
        <w:rPr>
          <w:bCs/>
          <w:iCs/>
          <w:sz w:val="24"/>
          <w:szCs w:val="24"/>
        </w:rPr>
        <w:t xml:space="preserve"> succeed in implementing transit oriented development (TOD)</w:t>
      </w:r>
      <w:r w:rsidR="00F97709">
        <w:rPr>
          <w:bCs/>
          <w:iCs/>
          <w:sz w:val="24"/>
          <w:szCs w:val="24"/>
        </w:rPr>
        <w:t xml:space="preserve">. </w:t>
      </w:r>
      <w:r w:rsidR="00F97709" w:rsidRPr="00736BC4">
        <w:rPr>
          <w:bCs/>
          <w:iCs/>
          <w:sz w:val="24"/>
          <w:szCs w:val="24"/>
        </w:rPr>
        <w:t xml:space="preserve">Of </w:t>
      </w:r>
      <w:r w:rsidR="00F97709">
        <w:rPr>
          <w:bCs/>
          <w:iCs/>
          <w:sz w:val="24"/>
          <w:szCs w:val="24"/>
        </w:rPr>
        <w:t xml:space="preserve">particular </w:t>
      </w:r>
      <w:r w:rsidR="00F97709" w:rsidRPr="00736BC4">
        <w:rPr>
          <w:bCs/>
          <w:iCs/>
          <w:sz w:val="24"/>
          <w:szCs w:val="24"/>
        </w:rPr>
        <w:t xml:space="preserve">interest is </w:t>
      </w:r>
      <w:r>
        <w:rPr>
          <w:bCs/>
          <w:iCs/>
          <w:sz w:val="24"/>
          <w:szCs w:val="24"/>
        </w:rPr>
        <w:t>the articulation of town planning policy through to implementa</w:t>
      </w:r>
      <w:bookmarkStart w:id="0" w:name="_GoBack"/>
      <w:bookmarkEnd w:id="0"/>
      <w:r>
        <w:rPr>
          <w:bCs/>
          <w:iCs/>
          <w:sz w:val="24"/>
          <w:szCs w:val="24"/>
        </w:rPr>
        <w:t>tion</w:t>
      </w:r>
      <w:r w:rsidR="00F97709" w:rsidRPr="00736BC4">
        <w:rPr>
          <w:bCs/>
          <w:iCs/>
          <w:sz w:val="24"/>
          <w:szCs w:val="24"/>
        </w:rPr>
        <w:t xml:space="preserve"> </w:t>
      </w:r>
      <w:r w:rsidR="006B029A">
        <w:rPr>
          <w:bCs/>
          <w:iCs/>
          <w:sz w:val="24"/>
          <w:szCs w:val="24"/>
        </w:rPr>
        <w:t>of</w:t>
      </w:r>
      <w:r w:rsidR="00F97709" w:rsidRPr="00736BC4">
        <w:rPr>
          <w:bCs/>
          <w:iCs/>
          <w:sz w:val="24"/>
          <w:szCs w:val="24"/>
        </w:rPr>
        <w:t xml:space="preserve"> development change on land around railway stations</w:t>
      </w:r>
      <w:r w:rsidR="00F97709">
        <w:rPr>
          <w:bCs/>
          <w:iCs/>
          <w:sz w:val="24"/>
          <w:szCs w:val="24"/>
        </w:rPr>
        <w:t xml:space="preserve">. </w:t>
      </w:r>
      <w:r w:rsidR="006B029A">
        <w:rPr>
          <w:bCs/>
          <w:iCs/>
          <w:sz w:val="24"/>
          <w:szCs w:val="24"/>
        </w:rPr>
        <w:t>A</w:t>
      </w:r>
      <w:r w:rsidR="006B029A" w:rsidRPr="00736BC4">
        <w:rPr>
          <w:bCs/>
          <w:iCs/>
          <w:sz w:val="24"/>
          <w:szCs w:val="24"/>
        </w:rPr>
        <w:t xml:space="preserve"> series of investigations</w:t>
      </w:r>
      <w:r w:rsidR="006B029A">
        <w:rPr>
          <w:bCs/>
          <w:iCs/>
          <w:sz w:val="24"/>
          <w:szCs w:val="24"/>
        </w:rPr>
        <w:t xml:space="preserve"> include policy analysis and development mapping u</w:t>
      </w:r>
      <w:r>
        <w:rPr>
          <w:bCs/>
          <w:iCs/>
          <w:sz w:val="24"/>
          <w:szCs w:val="24"/>
        </w:rPr>
        <w:t>sing Perth, Western Australia as a case study</w:t>
      </w:r>
      <w:r w:rsidR="00F97709">
        <w:rPr>
          <w:bCs/>
          <w:iCs/>
          <w:sz w:val="24"/>
          <w:szCs w:val="24"/>
        </w:rPr>
        <w:t>.</w:t>
      </w:r>
      <w:r w:rsidR="00F97709">
        <w:rPr>
          <w:bCs/>
          <w:i/>
          <w:iCs/>
          <w:sz w:val="24"/>
          <w:szCs w:val="24"/>
        </w:rPr>
        <w:t xml:space="preserve"> </w:t>
      </w:r>
      <w:r w:rsidR="00F97709">
        <w:rPr>
          <w:bCs/>
          <w:iCs/>
          <w:sz w:val="24"/>
          <w:szCs w:val="24"/>
        </w:rPr>
        <w:t xml:space="preserve"> </w:t>
      </w:r>
      <w:r>
        <w:rPr>
          <w:bCs/>
          <w:iCs/>
          <w:sz w:val="24"/>
          <w:szCs w:val="24"/>
        </w:rPr>
        <w:t xml:space="preserve">This research found that </w:t>
      </w:r>
      <w:r w:rsidR="006B029A">
        <w:rPr>
          <w:bCs/>
          <w:iCs/>
          <w:sz w:val="24"/>
          <w:szCs w:val="24"/>
        </w:rPr>
        <w:t>d</w:t>
      </w:r>
      <w:r w:rsidR="006B029A" w:rsidRPr="00736BC4">
        <w:rPr>
          <w:bCs/>
          <w:iCs/>
          <w:sz w:val="24"/>
          <w:szCs w:val="24"/>
        </w:rPr>
        <w:t>evelopment change has</w:t>
      </w:r>
      <w:r w:rsidR="006B029A">
        <w:rPr>
          <w:bCs/>
          <w:iCs/>
          <w:sz w:val="24"/>
          <w:szCs w:val="24"/>
        </w:rPr>
        <w:t xml:space="preserve"> </w:t>
      </w:r>
      <w:r w:rsidR="006B029A" w:rsidRPr="00736BC4">
        <w:rPr>
          <w:bCs/>
          <w:iCs/>
          <w:sz w:val="24"/>
          <w:szCs w:val="24"/>
        </w:rPr>
        <w:t xml:space="preserve">been </w:t>
      </w:r>
      <w:r w:rsidR="006B029A">
        <w:rPr>
          <w:bCs/>
          <w:iCs/>
          <w:sz w:val="24"/>
          <w:szCs w:val="24"/>
        </w:rPr>
        <w:t>slow</w:t>
      </w:r>
      <w:r w:rsidR="006B029A" w:rsidRPr="00736BC4">
        <w:rPr>
          <w:bCs/>
          <w:iCs/>
          <w:sz w:val="24"/>
          <w:szCs w:val="24"/>
        </w:rPr>
        <w:t xml:space="preserve"> despite long policy lead times</w:t>
      </w:r>
      <w:r w:rsidR="006B029A">
        <w:rPr>
          <w:bCs/>
          <w:iCs/>
          <w:sz w:val="24"/>
          <w:szCs w:val="24"/>
        </w:rPr>
        <w:t xml:space="preserve"> and </w:t>
      </w:r>
      <w:r>
        <w:rPr>
          <w:bCs/>
          <w:iCs/>
          <w:sz w:val="24"/>
          <w:szCs w:val="24"/>
        </w:rPr>
        <w:t>implementation has been</w:t>
      </w:r>
      <w:r w:rsidR="00F97709">
        <w:rPr>
          <w:bCs/>
          <w:iCs/>
          <w:sz w:val="24"/>
          <w:szCs w:val="24"/>
        </w:rPr>
        <w:t xml:space="preserve"> inconsistent</w:t>
      </w:r>
      <w:r>
        <w:rPr>
          <w:bCs/>
          <w:iCs/>
          <w:sz w:val="24"/>
          <w:szCs w:val="24"/>
        </w:rPr>
        <w:t xml:space="preserve"> and patchy</w:t>
      </w:r>
      <w:r w:rsidR="00F97709">
        <w:rPr>
          <w:bCs/>
          <w:iCs/>
          <w:sz w:val="24"/>
          <w:szCs w:val="24"/>
        </w:rPr>
        <w:t xml:space="preserve">. </w:t>
      </w:r>
      <w:r w:rsidR="006B029A">
        <w:rPr>
          <w:bCs/>
          <w:iCs/>
          <w:sz w:val="24"/>
          <w:szCs w:val="24"/>
        </w:rPr>
        <w:t>D</w:t>
      </w:r>
      <w:r w:rsidR="00F97709">
        <w:rPr>
          <w:bCs/>
          <w:iCs/>
          <w:sz w:val="24"/>
          <w:szCs w:val="24"/>
        </w:rPr>
        <w:t xml:space="preserve">evelopment </w:t>
      </w:r>
      <w:r w:rsidR="006B029A">
        <w:rPr>
          <w:bCs/>
          <w:iCs/>
          <w:sz w:val="24"/>
          <w:szCs w:val="24"/>
        </w:rPr>
        <w:t>pl</w:t>
      </w:r>
      <w:r w:rsidR="00F97709">
        <w:rPr>
          <w:bCs/>
          <w:iCs/>
          <w:sz w:val="24"/>
          <w:szCs w:val="24"/>
        </w:rPr>
        <w:t xml:space="preserve">anning for TOD has faltered, especially in relation to station precincts on new railways. </w:t>
      </w:r>
      <w:r w:rsidR="00F97709" w:rsidRPr="00736BC4">
        <w:rPr>
          <w:bCs/>
          <w:iCs/>
          <w:sz w:val="24"/>
          <w:szCs w:val="24"/>
        </w:rPr>
        <w:t xml:space="preserve"> </w:t>
      </w:r>
      <w:r w:rsidR="006B029A">
        <w:rPr>
          <w:bCs/>
          <w:iCs/>
          <w:sz w:val="24"/>
          <w:szCs w:val="24"/>
        </w:rPr>
        <w:t xml:space="preserve">Where development change has occurred the greatest success has been through use of public development agencies rather than through conventional planning approaches. </w:t>
      </w:r>
      <w:r>
        <w:rPr>
          <w:bCs/>
          <w:iCs/>
          <w:sz w:val="24"/>
          <w:szCs w:val="24"/>
        </w:rPr>
        <w:t>S</w:t>
      </w:r>
      <w:r w:rsidR="00F97709">
        <w:rPr>
          <w:bCs/>
          <w:iCs/>
          <w:sz w:val="24"/>
          <w:szCs w:val="24"/>
        </w:rPr>
        <w:t>ignificant action</w:t>
      </w:r>
      <w:r>
        <w:rPr>
          <w:bCs/>
          <w:iCs/>
          <w:sz w:val="24"/>
          <w:szCs w:val="24"/>
        </w:rPr>
        <w:t xml:space="preserve"> </w:t>
      </w:r>
      <w:r w:rsidR="006B029A">
        <w:rPr>
          <w:bCs/>
          <w:iCs/>
          <w:sz w:val="24"/>
          <w:szCs w:val="24"/>
        </w:rPr>
        <w:t xml:space="preserve">in town planning </w:t>
      </w:r>
      <w:r>
        <w:rPr>
          <w:bCs/>
          <w:iCs/>
          <w:sz w:val="24"/>
          <w:szCs w:val="24"/>
        </w:rPr>
        <w:t>is</w:t>
      </w:r>
      <w:r w:rsidR="00F97709">
        <w:rPr>
          <w:bCs/>
          <w:iCs/>
          <w:sz w:val="24"/>
          <w:szCs w:val="24"/>
        </w:rPr>
        <w:t xml:space="preserve"> needed if development in is to be delivered</w:t>
      </w:r>
      <w:r>
        <w:rPr>
          <w:bCs/>
          <w:iCs/>
          <w:sz w:val="24"/>
          <w:szCs w:val="24"/>
        </w:rPr>
        <w:t xml:space="preserve"> </w:t>
      </w:r>
      <w:r w:rsidR="006B029A">
        <w:rPr>
          <w:bCs/>
          <w:iCs/>
          <w:sz w:val="24"/>
          <w:szCs w:val="24"/>
        </w:rPr>
        <w:t>to a greater number of station precincts across the metropolitan area</w:t>
      </w:r>
      <w:r w:rsidR="00F97709" w:rsidRPr="00736BC4">
        <w:rPr>
          <w:bCs/>
          <w:iCs/>
          <w:sz w:val="24"/>
          <w:szCs w:val="24"/>
        </w:rPr>
        <w:t xml:space="preserve">.  </w:t>
      </w:r>
    </w:p>
    <w:p w:rsidR="007D31D2" w:rsidRPr="00252C7C" w:rsidRDefault="00252C7C">
      <w:pPr>
        <w:rPr>
          <w:sz w:val="24"/>
          <w:szCs w:val="24"/>
        </w:rPr>
      </w:pPr>
      <w:r w:rsidRPr="00252C7C">
        <w:rPr>
          <w:b/>
          <w:sz w:val="24"/>
          <w:szCs w:val="24"/>
        </w:rPr>
        <w:t>Keywords</w:t>
      </w:r>
      <w:r>
        <w:rPr>
          <w:b/>
          <w:sz w:val="24"/>
          <w:szCs w:val="24"/>
        </w:rPr>
        <w:t xml:space="preserve">: </w:t>
      </w:r>
      <w:r w:rsidRPr="00252C7C">
        <w:rPr>
          <w:sz w:val="24"/>
          <w:szCs w:val="24"/>
        </w:rPr>
        <w:t>Transit oriented development; policy implementation; town planning</w:t>
      </w:r>
    </w:p>
    <w:p w:rsidR="00896EAA" w:rsidRDefault="00896EAA">
      <w:pPr>
        <w:rPr>
          <w:b/>
          <w:sz w:val="24"/>
          <w:szCs w:val="24"/>
        </w:rPr>
      </w:pPr>
    </w:p>
    <w:p w:rsidR="00FF1256" w:rsidRDefault="00FF1256">
      <w:pPr>
        <w:rPr>
          <w:b/>
          <w:sz w:val="24"/>
          <w:szCs w:val="24"/>
        </w:rPr>
      </w:pPr>
      <w:r>
        <w:rPr>
          <w:b/>
          <w:sz w:val="24"/>
          <w:szCs w:val="24"/>
        </w:rPr>
        <w:t>Introduction</w:t>
      </w:r>
    </w:p>
    <w:p w:rsidR="00753724" w:rsidRDefault="007C283F" w:rsidP="008C3BED">
      <w:pPr>
        <w:jc w:val="both"/>
        <w:rPr>
          <w:rFonts w:eastAsia="Calibri"/>
          <w:sz w:val="24"/>
          <w:szCs w:val="24"/>
          <w:lang w:val="en-GB"/>
        </w:rPr>
      </w:pPr>
      <w:r w:rsidRPr="007C283F">
        <w:rPr>
          <w:sz w:val="24"/>
          <w:szCs w:val="24"/>
        </w:rPr>
        <w:t>Transit oriented development</w:t>
      </w:r>
      <w:r>
        <w:rPr>
          <w:sz w:val="24"/>
          <w:szCs w:val="24"/>
        </w:rPr>
        <w:t xml:space="preserve"> </w:t>
      </w:r>
      <w:r w:rsidR="000E5A15">
        <w:rPr>
          <w:sz w:val="24"/>
          <w:szCs w:val="24"/>
        </w:rPr>
        <w:t>(TOD) provides a</w:t>
      </w:r>
      <w:r>
        <w:rPr>
          <w:sz w:val="24"/>
          <w:szCs w:val="24"/>
        </w:rPr>
        <w:t xml:space="preserve"> </w:t>
      </w:r>
      <w:r w:rsidR="00530C9D">
        <w:rPr>
          <w:sz w:val="24"/>
          <w:szCs w:val="24"/>
        </w:rPr>
        <w:t xml:space="preserve">central </w:t>
      </w:r>
      <w:r>
        <w:rPr>
          <w:sz w:val="24"/>
          <w:szCs w:val="24"/>
        </w:rPr>
        <w:t xml:space="preserve">focus </w:t>
      </w:r>
      <w:r w:rsidR="00161CE4">
        <w:rPr>
          <w:sz w:val="24"/>
          <w:szCs w:val="24"/>
        </w:rPr>
        <w:t xml:space="preserve">where </w:t>
      </w:r>
      <w:r>
        <w:rPr>
          <w:sz w:val="24"/>
          <w:szCs w:val="24"/>
        </w:rPr>
        <w:t xml:space="preserve">land use planning and transport planning </w:t>
      </w:r>
      <w:r w:rsidR="007D31D2">
        <w:rPr>
          <w:sz w:val="24"/>
          <w:szCs w:val="24"/>
        </w:rPr>
        <w:t xml:space="preserve">would be expected </w:t>
      </w:r>
      <w:r>
        <w:rPr>
          <w:sz w:val="24"/>
          <w:szCs w:val="24"/>
        </w:rPr>
        <w:t xml:space="preserve">to </w:t>
      </w:r>
      <w:r w:rsidR="00A33BAD">
        <w:rPr>
          <w:sz w:val="24"/>
          <w:szCs w:val="24"/>
        </w:rPr>
        <w:t xml:space="preserve">strongly </w:t>
      </w:r>
      <w:r>
        <w:rPr>
          <w:sz w:val="24"/>
          <w:szCs w:val="24"/>
        </w:rPr>
        <w:t>interact.</w:t>
      </w:r>
      <w:r w:rsidR="000E5A15">
        <w:rPr>
          <w:sz w:val="24"/>
          <w:szCs w:val="24"/>
        </w:rPr>
        <w:t xml:space="preserve"> </w:t>
      </w:r>
      <w:r w:rsidR="000E5A15" w:rsidRPr="000E5A15">
        <w:rPr>
          <w:rFonts w:eastAsia="Calibri"/>
          <w:sz w:val="24"/>
          <w:szCs w:val="24"/>
          <w:lang w:val="en-GB"/>
        </w:rPr>
        <w:t>TOD is a development strategy being pursued in many city-regions worldwide. Typically TOD involves creating medium/high density areas of mixed land use concentrated within 800 metres walking distance of significant transit stops</w:t>
      </w:r>
      <w:r w:rsidR="00445168">
        <w:rPr>
          <w:rFonts w:eastAsia="Calibri"/>
          <w:sz w:val="24"/>
          <w:szCs w:val="24"/>
          <w:lang w:val="en-GB"/>
        </w:rPr>
        <w:t xml:space="preserve"> (Evans </w:t>
      </w:r>
      <w:r w:rsidR="00445168">
        <w:rPr>
          <w:rFonts w:eastAsia="Calibri"/>
          <w:i/>
          <w:sz w:val="24"/>
          <w:szCs w:val="24"/>
          <w:lang w:val="en-GB"/>
        </w:rPr>
        <w:t>et al.,</w:t>
      </w:r>
      <w:r w:rsidR="00445168">
        <w:rPr>
          <w:rFonts w:eastAsia="Calibri"/>
          <w:sz w:val="24"/>
          <w:szCs w:val="24"/>
          <w:lang w:val="en-GB"/>
        </w:rPr>
        <w:t xml:space="preserve"> 2007)</w:t>
      </w:r>
      <w:r w:rsidR="000E5A15" w:rsidRPr="000E5A15">
        <w:rPr>
          <w:rFonts w:eastAsia="Calibri"/>
          <w:sz w:val="24"/>
          <w:szCs w:val="24"/>
          <w:lang w:val="en-GB"/>
        </w:rPr>
        <w:t xml:space="preserve">. TOD aims to reduce car-based travel by </w:t>
      </w:r>
      <w:r w:rsidR="00252C7C">
        <w:rPr>
          <w:rFonts w:eastAsia="Calibri"/>
          <w:sz w:val="24"/>
          <w:szCs w:val="24"/>
          <w:lang w:val="en-GB"/>
        </w:rPr>
        <w:t>offering alternative transport choices in the form of public transport</w:t>
      </w:r>
      <w:r w:rsidR="000E5A15" w:rsidRPr="000E5A15">
        <w:rPr>
          <w:rFonts w:eastAsia="Calibri"/>
          <w:sz w:val="24"/>
          <w:szCs w:val="24"/>
          <w:lang w:val="en-GB"/>
        </w:rPr>
        <w:t xml:space="preserve">, walking and cycling. </w:t>
      </w:r>
      <w:r w:rsidR="00530C9D">
        <w:rPr>
          <w:rFonts w:eastAsia="Calibri"/>
          <w:sz w:val="24"/>
          <w:szCs w:val="24"/>
          <w:lang w:val="en-GB"/>
        </w:rPr>
        <w:t>On this basis, i</w:t>
      </w:r>
      <w:r w:rsidR="000E5A15" w:rsidRPr="000E5A15">
        <w:rPr>
          <w:rFonts w:eastAsia="Calibri"/>
          <w:sz w:val="24"/>
          <w:szCs w:val="24"/>
          <w:lang w:val="en-GB"/>
        </w:rPr>
        <w:t xml:space="preserve">t is argued that TOD provides a more environmentally sustainable form of urban development by reducing the need to travel </w:t>
      </w:r>
      <w:r w:rsidR="00A33BAD">
        <w:rPr>
          <w:rFonts w:eastAsia="Calibri"/>
          <w:sz w:val="24"/>
          <w:szCs w:val="24"/>
          <w:lang w:val="en-GB"/>
        </w:rPr>
        <w:t>as well as</w:t>
      </w:r>
      <w:r w:rsidR="000E5A15" w:rsidRPr="000E5A15">
        <w:rPr>
          <w:rFonts w:eastAsia="Calibri"/>
          <w:sz w:val="24"/>
          <w:szCs w:val="24"/>
          <w:lang w:val="en-GB"/>
        </w:rPr>
        <w:t xml:space="preserve"> facilitat</w:t>
      </w:r>
      <w:r w:rsidR="00A33BAD">
        <w:rPr>
          <w:rFonts w:eastAsia="Calibri"/>
          <w:sz w:val="24"/>
          <w:szCs w:val="24"/>
          <w:lang w:val="en-GB"/>
        </w:rPr>
        <w:t>ing</w:t>
      </w:r>
      <w:r w:rsidR="000E5A15" w:rsidRPr="000E5A15">
        <w:rPr>
          <w:rFonts w:eastAsia="Calibri"/>
          <w:sz w:val="24"/>
          <w:szCs w:val="24"/>
          <w:lang w:val="en-GB"/>
        </w:rPr>
        <w:t xml:space="preserve"> a modal shift </w:t>
      </w:r>
      <w:r w:rsidR="00161CE4" w:rsidRPr="000E5A15">
        <w:rPr>
          <w:rFonts w:eastAsia="Calibri"/>
          <w:sz w:val="24"/>
          <w:szCs w:val="24"/>
          <w:lang w:val="en-GB"/>
        </w:rPr>
        <w:t xml:space="preserve">away from the car </w:t>
      </w:r>
      <w:r w:rsidR="000E5A15" w:rsidRPr="000E5A15">
        <w:rPr>
          <w:rFonts w:eastAsia="Calibri"/>
          <w:sz w:val="24"/>
          <w:szCs w:val="24"/>
          <w:lang w:val="en-GB"/>
        </w:rPr>
        <w:t xml:space="preserve">among </w:t>
      </w:r>
      <w:r w:rsidR="00A33BAD">
        <w:rPr>
          <w:rFonts w:eastAsia="Calibri"/>
          <w:sz w:val="24"/>
          <w:szCs w:val="24"/>
          <w:lang w:val="en-GB"/>
        </w:rPr>
        <w:t>TOD</w:t>
      </w:r>
      <w:r w:rsidR="00161CE4">
        <w:rPr>
          <w:rFonts w:eastAsia="Calibri"/>
          <w:sz w:val="24"/>
          <w:szCs w:val="24"/>
          <w:lang w:val="en-GB"/>
        </w:rPr>
        <w:t>-</w:t>
      </w:r>
      <w:r w:rsidR="00A33BAD">
        <w:rPr>
          <w:rFonts w:eastAsia="Calibri"/>
          <w:sz w:val="24"/>
          <w:szCs w:val="24"/>
          <w:lang w:val="en-GB"/>
        </w:rPr>
        <w:t xml:space="preserve">based </w:t>
      </w:r>
      <w:r w:rsidR="000E5A15" w:rsidRPr="000E5A15">
        <w:rPr>
          <w:rFonts w:eastAsia="Calibri"/>
          <w:sz w:val="24"/>
          <w:szCs w:val="24"/>
          <w:lang w:val="en-GB"/>
        </w:rPr>
        <w:t>residents.</w:t>
      </w:r>
      <w:r w:rsidR="000E5A15">
        <w:rPr>
          <w:sz w:val="24"/>
          <w:szCs w:val="24"/>
          <w:lang w:val="en-GB"/>
        </w:rPr>
        <w:t xml:space="preserve">  </w:t>
      </w:r>
      <w:r w:rsidR="000E5A15" w:rsidRPr="000E5A15">
        <w:rPr>
          <w:rFonts w:eastAsia="Calibri"/>
          <w:sz w:val="24"/>
          <w:szCs w:val="24"/>
          <w:lang w:val="en-GB"/>
        </w:rPr>
        <w:t>TOD</w:t>
      </w:r>
      <w:r w:rsidR="00896EAA">
        <w:rPr>
          <w:sz w:val="24"/>
          <w:szCs w:val="24"/>
          <w:lang w:val="en-GB"/>
        </w:rPr>
        <w:t xml:space="preserve"> </w:t>
      </w:r>
      <w:r w:rsidR="000E5A15">
        <w:rPr>
          <w:sz w:val="24"/>
          <w:szCs w:val="24"/>
          <w:lang w:val="en-GB"/>
        </w:rPr>
        <w:t>aims to</w:t>
      </w:r>
      <w:r w:rsidR="000E5A15" w:rsidRPr="000E5A15">
        <w:rPr>
          <w:rFonts w:eastAsia="Calibri"/>
          <w:sz w:val="24"/>
          <w:szCs w:val="24"/>
          <w:lang w:val="en-GB"/>
        </w:rPr>
        <w:t xml:space="preserve"> strengthen the integration between public transport systems and urban development by creating places in which public transport is readily accessible for many activities. </w:t>
      </w:r>
    </w:p>
    <w:p w:rsidR="00252C7C" w:rsidRDefault="00252C7C" w:rsidP="00252C7C">
      <w:pPr>
        <w:jc w:val="both"/>
        <w:rPr>
          <w:rFonts w:eastAsia="Calibri"/>
          <w:sz w:val="24"/>
          <w:szCs w:val="24"/>
        </w:rPr>
      </w:pPr>
      <w:r w:rsidRPr="009D769D">
        <w:rPr>
          <w:rFonts w:eastAsia="Calibri"/>
          <w:sz w:val="24"/>
          <w:szCs w:val="24"/>
        </w:rPr>
        <w:t xml:space="preserve">There is some convergence in TOD policy approaches </w:t>
      </w:r>
      <w:r>
        <w:rPr>
          <w:rFonts w:eastAsia="Calibri"/>
          <w:sz w:val="24"/>
          <w:szCs w:val="24"/>
        </w:rPr>
        <w:t>internationally</w:t>
      </w:r>
      <w:r w:rsidRPr="009D769D">
        <w:rPr>
          <w:rFonts w:eastAsia="Calibri"/>
          <w:sz w:val="24"/>
          <w:szCs w:val="24"/>
        </w:rPr>
        <w:t xml:space="preserve"> (Curtis et al, 2009). </w:t>
      </w:r>
      <w:r>
        <w:rPr>
          <w:rFonts w:eastAsia="Calibri"/>
          <w:sz w:val="24"/>
          <w:szCs w:val="24"/>
        </w:rPr>
        <w:t xml:space="preserve">In particular, </w:t>
      </w:r>
      <w:r w:rsidRPr="009D769D">
        <w:rPr>
          <w:rFonts w:eastAsia="Calibri"/>
          <w:sz w:val="24"/>
          <w:szCs w:val="24"/>
        </w:rPr>
        <w:t xml:space="preserve">TOD has been taken up in US cities as a way of counter-acting sprawl, with light and heavy rail the preferred transit technologies (Cervero, 1998; Bernick &amp; Cervero, 1997; Dittmar &amp; Ohland, 2004: Dunphy </w:t>
      </w:r>
      <w:r w:rsidRPr="00556AA8">
        <w:rPr>
          <w:rFonts w:eastAsia="Calibri"/>
          <w:i/>
          <w:sz w:val="24"/>
          <w:szCs w:val="24"/>
        </w:rPr>
        <w:t>et al</w:t>
      </w:r>
      <w:r w:rsidRPr="009D769D">
        <w:rPr>
          <w:rFonts w:eastAsia="Calibri"/>
          <w:sz w:val="24"/>
          <w:szCs w:val="24"/>
        </w:rPr>
        <w:t>, 2005). In Australia</w:t>
      </w:r>
      <w:r>
        <w:rPr>
          <w:rFonts w:eastAsia="Calibri"/>
          <w:sz w:val="24"/>
          <w:szCs w:val="24"/>
        </w:rPr>
        <w:t>, national policy seeks</w:t>
      </w:r>
      <w:r w:rsidRPr="009D769D">
        <w:rPr>
          <w:rFonts w:eastAsia="Calibri"/>
          <w:sz w:val="24"/>
          <w:szCs w:val="24"/>
        </w:rPr>
        <w:t xml:space="preserve"> 'land use transport integration' as a means of achieving sustainable travel outcomes </w:t>
      </w:r>
      <w:r w:rsidRPr="009D769D">
        <w:rPr>
          <w:rFonts w:eastAsia="Calibri"/>
          <w:sz w:val="24"/>
          <w:szCs w:val="24"/>
          <w:lang w:val="en-US"/>
        </w:rPr>
        <w:t>(DOTARS, 2003)</w:t>
      </w:r>
      <w:r w:rsidRPr="009D769D">
        <w:rPr>
          <w:rFonts w:eastAsia="Calibri"/>
          <w:sz w:val="24"/>
          <w:szCs w:val="24"/>
        </w:rPr>
        <w:t xml:space="preserve">. TOD is seen as a principle means of achieving </w:t>
      </w:r>
      <w:r>
        <w:rPr>
          <w:rFonts w:eastAsia="Calibri"/>
          <w:sz w:val="24"/>
          <w:szCs w:val="24"/>
        </w:rPr>
        <w:t xml:space="preserve">this </w:t>
      </w:r>
      <w:r w:rsidRPr="009D769D">
        <w:rPr>
          <w:rFonts w:eastAsia="Calibri"/>
          <w:sz w:val="24"/>
          <w:szCs w:val="24"/>
        </w:rPr>
        <w:t xml:space="preserve">integration and as such has been embraced in most </w:t>
      </w:r>
      <w:r>
        <w:rPr>
          <w:rFonts w:eastAsia="Calibri"/>
          <w:sz w:val="24"/>
          <w:szCs w:val="24"/>
        </w:rPr>
        <w:t>Australian</w:t>
      </w:r>
      <w:r w:rsidRPr="009D769D">
        <w:rPr>
          <w:rFonts w:eastAsia="Calibri"/>
          <w:sz w:val="24"/>
          <w:szCs w:val="24"/>
        </w:rPr>
        <w:t xml:space="preserve"> metropolitan strategies (Gleeson </w:t>
      </w:r>
      <w:r w:rsidRPr="00556AA8">
        <w:rPr>
          <w:rFonts w:eastAsia="Calibri"/>
          <w:i/>
          <w:sz w:val="24"/>
          <w:szCs w:val="24"/>
        </w:rPr>
        <w:t>et al</w:t>
      </w:r>
      <w:r w:rsidRPr="009D769D">
        <w:rPr>
          <w:rFonts w:eastAsia="Calibri"/>
          <w:sz w:val="24"/>
          <w:szCs w:val="24"/>
        </w:rPr>
        <w:t>, 2004)</w:t>
      </w:r>
      <w:r>
        <w:rPr>
          <w:rFonts w:eastAsia="Calibri"/>
          <w:sz w:val="24"/>
          <w:szCs w:val="24"/>
        </w:rPr>
        <w:t>, including Adelaide, Brisbane, Gold Coast, Melbourne, Perth and Sydney</w:t>
      </w:r>
      <w:r w:rsidRPr="009D769D">
        <w:rPr>
          <w:rFonts w:eastAsia="Calibri"/>
          <w:sz w:val="24"/>
          <w:szCs w:val="24"/>
        </w:rPr>
        <w:t>. In the UK, attempts to link development more closely to public transport and close an institutional gap between land-use and transport planning have a long history. Current policy seeks to ensure</w:t>
      </w:r>
      <w:r>
        <w:rPr>
          <w:rFonts w:eastAsia="Calibri"/>
          <w:sz w:val="24"/>
          <w:szCs w:val="24"/>
        </w:rPr>
        <w:t xml:space="preserve"> </w:t>
      </w:r>
      <w:r w:rsidRPr="00876404">
        <w:rPr>
          <w:rFonts w:eastAsia="Calibri"/>
          <w:sz w:val="24"/>
          <w:szCs w:val="24"/>
        </w:rPr>
        <w:t>“that new development is located where everyone can access services or facilities on foot, bicycle or public transport”</w:t>
      </w:r>
      <w:r w:rsidRPr="009D769D">
        <w:rPr>
          <w:rFonts w:eastAsia="Calibri"/>
          <w:sz w:val="24"/>
          <w:szCs w:val="24"/>
        </w:rPr>
        <w:t xml:space="preserve"> (ODPM 2005: Para 27).</w:t>
      </w:r>
    </w:p>
    <w:p w:rsidR="00721A60" w:rsidRDefault="00252C7C" w:rsidP="00721A60">
      <w:pPr>
        <w:jc w:val="both"/>
        <w:rPr>
          <w:rFonts w:eastAsia="Calibri"/>
          <w:sz w:val="24"/>
          <w:szCs w:val="24"/>
        </w:rPr>
      </w:pPr>
      <w:r w:rsidRPr="009D769D">
        <w:rPr>
          <w:rFonts w:eastAsia="Calibri"/>
          <w:sz w:val="24"/>
          <w:szCs w:val="24"/>
        </w:rPr>
        <w:t>There a keen interest in a more coordinated approach to growth management to achieve a more sustainable urban form.</w:t>
      </w:r>
      <w:r>
        <w:rPr>
          <w:rFonts w:eastAsia="Calibri"/>
          <w:sz w:val="24"/>
          <w:szCs w:val="24"/>
        </w:rPr>
        <w:t xml:space="preserve"> I</w:t>
      </w:r>
      <w:r w:rsidRPr="009D769D">
        <w:rPr>
          <w:rFonts w:eastAsia="Calibri"/>
          <w:sz w:val="24"/>
          <w:szCs w:val="24"/>
        </w:rPr>
        <w:t xml:space="preserve">n practice there are two </w:t>
      </w:r>
      <w:r w:rsidR="00D108A3">
        <w:rPr>
          <w:rFonts w:eastAsia="Calibri"/>
          <w:sz w:val="24"/>
          <w:szCs w:val="24"/>
        </w:rPr>
        <w:t xml:space="preserve">situations, often occurring within the same city, </w:t>
      </w:r>
      <w:r w:rsidR="00896EAA">
        <w:rPr>
          <w:rFonts w:eastAsia="Calibri"/>
          <w:sz w:val="24"/>
          <w:szCs w:val="24"/>
        </w:rPr>
        <w:t>each</w:t>
      </w:r>
      <w:r w:rsidR="00D108A3">
        <w:rPr>
          <w:rFonts w:eastAsia="Calibri"/>
          <w:sz w:val="24"/>
          <w:szCs w:val="24"/>
        </w:rPr>
        <w:t xml:space="preserve"> present</w:t>
      </w:r>
      <w:r w:rsidR="00896EAA">
        <w:rPr>
          <w:rFonts w:eastAsia="Calibri"/>
          <w:sz w:val="24"/>
          <w:szCs w:val="24"/>
        </w:rPr>
        <w:t>s</w:t>
      </w:r>
      <w:r w:rsidR="00D108A3">
        <w:rPr>
          <w:rFonts w:eastAsia="Calibri"/>
          <w:sz w:val="24"/>
          <w:szCs w:val="24"/>
        </w:rPr>
        <w:t xml:space="preserve"> distinct challenges for implementing TOD. The first</w:t>
      </w:r>
      <w:r w:rsidR="00896EAA">
        <w:rPr>
          <w:rFonts w:eastAsia="Calibri"/>
          <w:sz w:val="24"/>
          <w:szCs w:val="24"/>
        </w:rPr>
        <w:t xml:space="preserve"> situation</w:t>
      </w:r>
      <w:r w:rsidR="00D108A3">
        <w:rPr>
          <w:rFonts w:eastAsia="Calibri"/>
          <w:sz w:val="24"/>
          <w:szCs w:val="24"/>
        </w:rPr>
        <w:t xml:space="preserve"> is where new urban </w:t>
      </w:r>
      <w:r w:rsidR="00D108A3">
        <w:rPr>
          <w:rFonts w:eastAsia="Calibri"/>
          <w:sz w:val="24"/>
          <w:szCs w:val="24"/>
        </w:rPr>
        <w:lastRenderedPageBreak/>
        <w:t xml:space="preserve">growth can be framed around TOD; the second is where established urban areas can be re-structured to enhance TOD. In </w:t>
      </w:r>
      <w:r w:rsidR="00F73008">
        <w:rPr>
          <w:rFonts w:eastAsia="Calibri"/>
          <w:sz w:val="24"/>
          <w:szCs w:val="24"/>
        </w:rPr>
        <w:t xml:space="preserve">either of these situations </w:t>
      </w:r>
      <w:r w:rsidR="00D108A3">
        <w:rPr>
          <w:rFonts w:eastAsia="Calibri"/>
          <w:sz w:val="24"/>
          <w:szCs w:val="24"/>
        </w:rPr>
        <w:t xml:space="preserve">a strategic planning framework and statutory planning base that requires development at the necessary </w:t>
      </w:r>
      <w:r w:rsidR="00896EAA">
        <w:rPr>
          <w:rFonts w:eastAsia="Calibri"/>
          <w:sz w:val="24"/>
          <w:szCs w:val="24"/>
        </w:rPr>
        <w:t>intensity of use</w:t>
      </w:r>
      <w:r w:rsidR="00D945E7">
        <w:rPr>
          <w:rFonts w:eastAsia="Calibri"/>
          <w:sz w:val="24"/>
          <w:szCs w:val="24"/>
        </w:rPr>
        <w:t xml:space="preserve"> is essential to the success of TOD (Newman, 2009, Cervero, 2005).  This is clearly the case in a wide range of case studies of TOD implementation around the world (see Curtis et al, 2009).</w:t>
      </w:r>
      <w:r w:rsidR="00721A60">
        <w:rPr>
          <w:rFonts w:eastAsia="Calibri"/>
          <w:sz w:val="24"/>
          <w:szCs w:val="24"/>
        </w:rPr>
        <w:t xml:space="preserve"> </w:t>
      </w:r>
    </w:p>
    <w:p w:rsidR="00721A60" w:rsidRDefault="00721A60" w:rsidP="00721A60">
      <w:pPr>
        <w:jc w:val="both"/>
        <w:rPr>
          <w:rFonts w:eastAsia="Calibri"/>
          <w:bCs/>
          <w:iCs/>
          <w:sz w:val="24"/>
          <w:szCs w:val="24"/>
        </w:rPr>
      </w:pPr>
      <w:r>
        <w:rPr>
          <w:rFonts w:eastAsia="Calibri"/>
          <w:sz w:val="24"/>
          <w:szCs w:val="24"/>
          <w:lang w:val="en-GB"/>
        </w:rPr>
        <w:t xml:space="preserve">Research examining specific difficulties in implementing TOD is </w:t>
      </w:r>
      <w:r w:rsidRPr="0036533C">
        <w:rPr>
          <w:rFonts w:eastAsia="Calibri"/>
          <w:sz w:val="24"/>
          <w:szCs w:val="24"/>
          <w:lang w:val="en-GB"/>
        </w:rPr>
        <w:t xml:space="preserve">predominantly US </w:t>
      </w:r>
      <w:r>
        <w:rPr>
          <w:rFonts w:eastAsia="Calibri"/>
          <w:sz w:val="24"/>
          <w:szCs w:val="24"/>
          <w:lang w:val="en-GB"/>
        </w:rPr>
        <w:t>focussed and</w:t>
      </w:r>
      <w:r w:rsidRPr="0036533C">
        <w:rPr>
          <w:rFonts w:eastAsia="Calibri"/>
          <w:sz w:val="24"/>
          <w:szCs w:val="24"/>
          <w:lang w:val="en-GB"/>
        </w:rPr>
        <w:t xml:space="preserve"> concludes that implementation of the TOD concept has been patchy spatially (Dittmar and Ohlan</w:t>
      </w:r>
      <w:r>
        <w:rPr>
          <w:rFonts w:eastAsia="Calibri"/>
          <w:sz w:val="24"/>
          <w:szCs w:val="24"/>
          <w:lang w:val="en-GB"/>
        </w:rPr>
        <w:t xml:space="preserve">d eds., 2004; Dunphy </w:t>
      </w:r>
      <w:r w:rsidRPr="00DC2712">
        <w:rPr>
          <w:rFonts w:eastAsia="Calibri"/>
          <w:i/>
          <w:sz w:val="24"/>
          <w:szCs w:val="24"/>
          <w:lang w:val="en-GB"/>
        </w:rPr>
        <w:t>et al</w:t>
      </w:r>
      <w:r>
        <w:rPr>
          <w:rFonts w:eastAsia="Calibri"/>
          <w:sz w:val="24"/>
          <w:szCs w:val="24"/>
          <w:lang w:val="en-GB"/>
        </w:rPr>
        <w:t>, 2005</w:t>
      </w:r>
      <w:r w:rsidRPr="0036533C">
        <w:rPr>
          <w:rFonts w:eastAsia="Calibri"/>
          <w:sz w:val="24"/>
          <w:szCs w:val="24"/>
          <w:lang w:val="en-GB"/>
        </w:rPr>
        <w:t>; Renne, 2005</w:t>
      </w:r>
      <w:r>
        <w:rPr>
          <w:rFonts w:eastAsia="Calibri"/>
          <w:sz w:val="24"/>
          <w:szCs w:val="24"/>
          <w:lang w:val="en-GB"/>
        </w:rPr>
        <w:t xml:space="preserve">; </w:t>
      </w:r>
      <w:r w:rsidRPr="0036533C">
        <w:rPr>
          <w:rFonts w:eastAsia="Calibri"/>
          <w:sz w:val="24"/>
          <w:szCs w:val="24"/>
          <w:lang w:val="en-GB"/>
        </w:rPr>
        <w:t xml:space="preserve">Boarnet and Compin 1999). A number of policy implementation issues around town planning and TOD </w:t>
      </w:r>
      <w:r>
        <w:rPr>
          <w:rFonts w:eastAsia="Calibri"/>
          <w:sz w:val="24"/>
          <w:szCs w:val="24"/>
          <w:lang w:val="en-GB"/>
        </w:rPr>
        <w:t>relate</w:t>
      </w:r>
      <w:r w:rsidRPr="0036533C">
        <w:rPr>
          <w:rFonts w:eastAsia="Calibri"/>
          <w:sz w:val="24"/>
          <w:szCs w:val="24"/>
          <w:lang w:val="en-GB"/>
        </w:rPr>
        <w:t xml:space="preserve"> to the town planning challenge.  Belzer et al (2004) and Renne (2005) argue that a good land use plan will provide developers with certainty and therefore encourage development implementation. Cervero (2005) </w:t>
      </w:r>
      <w:r>
        <w:rPr>
          <w:rFonts w:eastAsia="Calibri"/>
          <w:sz w:val="24"/>
          <w:szCs w:val="24"/>
          <w:lang w:val="en-GB"/>
        </w:rPr>
        <w:t>contends</w:t>
      </w:r>
      <w:r w:rsidRPr="0036533C">
        <w:rPr>
          <w:rFonts w:eastAsia="Calibri"/>
          <w:sz w:val="24"/>
          <w:szCs w:val="24"/>
          <w:lang w:val="en-GB"/>
        </w:rPr>
        <w:t xml:space="preserve"> that the presence of a bad land use plan or inflexible planning standards will be counterproductive.</w:t>
      </w:r>
      <w:r w:rsidRPr="0036533C">
        <w:rPr>
          <w:sz w:val="24"/>
          <w:szCs w:val="24"/>
        </w:rPr>
        <w:t xml:space="preserve"> </w:t>
      </w:r>
      <w:r>
        <w:rPr>
          <w:sz w:val="24"/>
          <w:szCs w:val="24"/>
        </w:rPr>
        <w:t xml:space="preserve">There is </w:t>
      </w:r>
      <w:r w:rsidR="00896EAA">
        <w:rPr>
          <w:sz w:val="24"/>
          <w:szCs w:val="24"/>
        </w:rPr>
        <w:t xml:space="preserve">also </w:t>
      </w:r>
      <w:r>
        <w:rPr>
          <w:sz w:val="24"/>
          <w:szCs w:val="24"/>
        </w:rPr>
        <w:t xml:space="preserve">a </w:t>
      </w:r>
      <w:r w:rsidRPr="0036533C">
        <w:rPr>
          <w:sz w:val="24"/>
          <w:szCs w:val="24"/>
        </w:rPr>
        <w:t>need to recognise that few cities start with a ‘blank slate’</w:t>
      </w:r>
      <w:r>
        <w:rPr>
          <w:sz w:val="24"/>
          <w:szCs w:val="24"/>
        </w:rPr>
        <w:t>.  Existing</w:t>
      </w:r>
      <w:r w:rsidRPr="0036533C">
        <w:rPr>
          <w:rFonts w:eastAsia="Calibri"/>
          <w:sz w:val="24"/>
          <w:szCs w:val="24"/>
          <w:lang w:val="en-GB"/>
        </w:rPr>
        <w:t xml:space="preserve"> land use patterns may make TOD difficult, particularly where land parcels are in fragmented ownership</w:t>
      </w:r>
      <w:r w:rsidRPr="00312ECD">
        <w:rPr>
          <w:rFonts w:eastAsia="Calibri"/>
          <w:sz w:val="24"/>
          <w:szCs w:val="24"/>
          <w:lang w:val="en-GB"/>
        </w:rPr>
        <w:t xml:space="preserve"> </w:t>
      </w:r>
      <w:r>
        <w:rPr>
          <w:rFonts w:eastAsia="Calibri"/>
          <w:sz w:val="24"/>
          <w:szCs w:val="24"/>
          <w:lang w:val="en-GB"/>
        </w:rPr>
        <w:t>(</w:t>
      </w:r>
      <w:r w:rsidRPr="0036533C">
        <w:rPr>
          <w:rFonts w:eastAsia="Calibri"/>
          <w:sz w:val="24"/>
          <w:szCs w:val="24"/>
          <w:lang w:val="en-GB"/>
        </w:rPr>
        <w:t>Boarnet and Compin</w:t>
      </w:r>
      <w:r>
        <w:rPr>
          <w:rFonts w:eastAsia="Calibri"/>
          <w:sz w:val="24"/>
          <w:szCs w:val="24"/>
          <w:lang w:val="en-GB"/>
        </w:rPr>
        <w:t xml:space="preserve">, </w:t>
      </w:r>
      <w:r w:rsidRPr="0036533C">
        <w:rPr>
          <w:rFonts w:eastAsia="Calibri"/>
          <w:sz w:val="24"/>
          <w:szCs w:val="24"/>
          <w:lang w:val="en-GB"/>
        </w:rPr>
        <w:t xml:space="preserve">1999). </w:t>
      </w:r>
    </w:p>
    <w:p w:rsidR="00721A60" w:rsidRDefault="00721A60" w:rsidP="00721A60">
      <w:pPr>
        <w:jc w:val="both"/>
        <w:rPr>
          <w:rFonts w:eastAsia="Calibri"/>
          <w:bCs/>
          <w:iCs/>
          <w:sz w:val="24"/>
          <w:szCs w:val="24"/>
          <w:lang w:val="en-US"/>
        </w:rPr>
      </w:pPr>
      <w:r w:rsidRPr="009D769D">
        <w:rPr>
          <w:rFonts w:eastAsia="Calibri"/>
          <w:bCs/>
          <w:iCs/>
          <w:sz w:val="24"/>
          <w:szCs w:val="24"/>
        </w:rPr>
        <w:t>The capacity of local and regional government to implement policy and invest in transport decisions has emerged as an important issue for transport policy in urban areas (</w:t>
      </w:r>
      <w:r w:rsidRPr="009D769D">
        <w:rPr>
          <w:rFonts w:eastAsia="Calibri"/>
          <w:bCs/>
          <w:iCs/>
          <w:sz w:val="24"/>
          <w:szCs w:val="24"/>
          <w:lang w:val="en-US"/>
        </w:rPr>
        <w:t>EMCT/OECD, 2003)</w:t>
      </w:r>
      <w:r w:rsidRPr="009D769D">
        <w:rPr>
          <w:rFonts w:eastAsia="Calibri"/>
          <w:bCs/>
          <w:iCs/>
          <w:sz w:val="24"/>
          <w:szCs w:val="24"/>
        </w:rPr>
        <w:t>.  In many western European countries</w:t>
      </w:r>
      <w:r>
        <w:rPr>
          <w:rFonts w:eastAsia="Calibri"/>
          <w:bCs/>
          <w:iCs/>
          <w:sz w:val="24"/>
          <w:szCs w:val="24"/>
        </w:rPr>
        <w:t>, the USA and Australia</w:t>
      </w:r>
      <w:r w:rsidRPr="009D769D">
        <w:rPr>
          <w:rFonts w:eastAsia="Calibri"/>
          <w:bCs/>
          <w:iCs/>
          <w:sz w:val="24"/>
          <w:szCs w:val="24"/>
        </w:rPr>
        <w:t xml:space="preserve"> the trend has been to devolve decision making and resources to the local level.  Given this direction it is important to examine the </w:t>
      </w:r>
      <w:r>
        <w:rPr>
          <w:rFonts w:eastAsia="Calibri"/>
          <w:bCs/>
          <w:iCs/>
          <w:sz w:val="24"/>
          <w:szCs w:val="24"/>
        </w:rPr>
        <w:t>way in which public agencies are performing.</w:t>
      </w:r>
      <w:r w:rsidRPr="009D769D">
        <w:rPr>
          <w:rFonts w:eastAsia="Calibri"/>
          <w:bCs/>
          <w:iCs/>
          <w:sz w:val="24"/>
          <w:szCs w:val="24"/>
        </w:rPr>
        <w:t xml:space="preserve"> </w:t>
      </w:r>
      <w:r w:rsidRPr="009D769D">
        <w:rPr>
          <w:rFonts w:eastAsia="Calibri"/>
          <w:bCs/>
          <w:iCs/>
          <w:sz w:val="24"/>
          <w:szCs w:val="24"/>
          <w:lang w:val="en-US"/>
        </w:rPr>
        <w:t xml:space="preserve">Breheny, Gurney, and Strike, (1996) suggest the need to consider </w:t>
      </w:r>
      <w:r w:rsidRPr="009D769D">
        <w:rPr>
          <w:rFonts w:eastAsia="Calibri"/>
          <w:bCs/>
          <w:iCs/>
          <w:sz w:val="24"/>
          <w:szCs w:val="24"/>
        </w:rPr>
        <w:t>the influence of policy on decision making and the difficulties encountered in implementation.</w:t>
      </w:r>
      <w:r>
        <w:rPr>
          <w:rFonts w:eastAsia="Calibri"/>
          <w:bCs/>
          <w:iCs/>
          <w:sz w:val="24"/>
          <w:szCs w:val="24"/>
        </w:rPr>
        <w:t xml:space="preserve"> </w:t>
      </w:r>
      <w:r w:rsidRPr="0036533C">
        <w:rPr>
          <w:rFonts w:eastAsia="Calibri"/>
          <w:sz w:val="24"/>
          <w:szCs w:val="24"/>
          <w:lang w:val="en-GB"/>
        </w:rPr>
        <w:t xml:space="preserve">There is considerable interest in the difficulties associated with policy implementation </w:t>
      </w:r>
      <w:r>
        <w:rPr>
          <w:rFonts w:eastAsia="Calibri"/>
          <w:sz w:val="24"/>
          <w:szCs w:val="24"/>
          <w:lang w:val="en-GB"/>
        </w:rPr>
        <w:t xml:space="preserve">both in relation to transport policy </w:t>
      </w:r>
      <w:r w:rsidRPr="0036533C">
        <w:rPr>
          <w:rFonts w:eastAsia="Calibri"/>
          <w:sz w:val="24"/>
          <w:szCs w:val="24"/>
          <w:lang w:val="en-GB"/>
        </w:rPr>
        <w:t xml:space="preserve">and specifically in relation to TOD. In relation to transport, Banister (2005) highlights the substantial difference between </w:t>
      </w:r>
      <w:r>
        <w:rPr>
          <w:rFonts w:eastAsia="Calibri"/>
          <w:sz w:val="24"/>
          <w:szCs w:val="24"/>
          <w:lang w:val="en-GB"/>
        </w:rPr>
        <w:t xml:space="preserve">transport </w:t>
      </w:r>
      <w:r w:rsidRPr="0036533C">
        <w:rPr>
          <w:rFonts w:eastAsia="Calibri"/>
          <w:sz w:val="24"/>
          <w:szCs w:val="24"/>
          <w:lang w:val="en-GB"/>
        </w:rPr>
        <w:t xml:space="preserve">policy intentions and policy outcomes and </w:t>
      </w:r>
      <w:r w:rsidRPr="0036533C">
        <w:rPr>
          <w:rFonts w:eastAsia="Calibri"/>
          <w:sz w:val="24"/>
          <w:szCs w:val="24"/>
        </w:rPr>
        <w:t xml:space="preserve">identifies six barriers to implementation: resource; institutional and policy; social and cultural; legal; 'side effects' (effects of one action reduce the outcome of another action); and physical barriers </w:t>
      </w:r>
      <w:r w:rsidRPr="0036533C">
        <w:rPr>
          <w:rFonts w:eastAsia="Calibri"/>
          <w:sz w:val="24"/>
          <w:szCs w:val="24"/>
          <w:lang w:val="en-GB"/>
        </w:rPr>
        <w:t xml:space="preserve">in the transport. </w:t>
      </w:r>
      <w:r>
        <w:rPr>
          <w:rFonts w:eastAsia="Calibri"/>
          <w:sz w:val="24"/>
          <w:szCs w:val="24"/>
          <w:lang w:val="en-GB"/>
        </w:rPr>
        <w:t xml:space="preserve">In this research paper the focus is on examining the first of these barriers: institutional and policy. </w:t>
      </w:r>
      <w:r w:rsidRPr="009D769D">
        <w:rPr>
          <w:rFonts w:eastAsia="Calibri"/>
          <w:bCs/>
          <w:iCs/>
          <w:sz w:val="24"/>
          <w:szCs w:val="24"/>
        </w:rPr>
        <w:t>Reitveld and Stough (2005) argue that one of the primary barriers to the delivery of sustainable transport is the institutional barrier.  Such barriers can either reduce the potential of delivery, or make it impossible to achieve (</w:t>
      </w:r>
      <w:r w:rsidRPr="009D769D">
        <w:rPr>
          <w:rFonts w:eastAsia="Calibri"/>
          <w:bCs/>
          <w:iCs/>
          <w:sz w:val="24"/>
          <w:szCs w:val="24"/>
          <w:lang w:val="en-US"/>
        </w:rPr>
        <w:t>Banister, 2005)</w:t>
      </w:r>
      <w:r w:rsidRPr="009D769D">
        <w:rPr>
          <w:rFonts w:eastAsia="Calibri"/>
          <w:bCs/>
          <w:iCs/>
          <w:sz w:val="24"/>
          <w:szCs w:val="24"/>
        </w:rPr>
        <w:t xml:space="preserve">.  </w:t>
      </w:r>
      <w:r>
        <w:rPr>
          <w:rFonts w:eastAsia="Calibri"/>
          <w:bCs/>
          <w:iCs/>
          <w:sz w:val="24"/>
          <w:szCs w:val="24"/>
        </w:rPr>
        <w:t>North (1990) identifies the need to understand</w:t>
      </w:r>
      <w:r w:rsidRPr="009D769D">
        <w:rPr>
          <w:rFonts w:eastAsia="Calibri"/>
          <w:bCs/>
          <w:iCs/>
          <w:sz w:val="24"/>
          <w:szCs w:val="24"/>
        </w:rPr>
        <w:t xml:space="preserve"> the rules and rule structures that guide action and the organisations as agents of those rules and the way in which they act. An analysis of the institutional barriers can provide for an exploration of the interactions between different levels of public sector policy</w:t>
      </w:r>
      <w:r w:rsidR="00896EAA">
        <w:rPr>
          <w:rFonts w:eastAsia="Calibri"/>
          <w:bCs/>
          <w:iCs/>
          <w:sz w:val="24"/>
          <w:szCs w:val="24"/>
        </w:rPr>
        <w:t>,</w:t>
      </w:r>
      <w:r>
        <w:rPr>
          <w:rFonts w:eastAsia="Calibri"/>
          <w:bCs/>
          <w:iCs/>
          <w:sz w:val="24"/>
          <w:szCs w:val="24"/>
        </w:rPr>
        <w:t xml:space="preserve"> for it is here that</w:t>
      </w:r>
      <w:r w:rsidRPr="009D769D">
        <w:rPr>
          <w:rFonts w:eastAsia="Calibri"/>
          <w:bCs/>
          <w:iCs/>
          <w:sz w:val="24"/>
          <w:szCs w:val="24"/>
        </w:rPr>
        <w:t xml:space="preserve"> </w:t>
      </w:r>
      <w:r>
        <w:rPr>
          <w:rFonts w:eastAsia="Calibri"/>
          <w:bCs/>
          <w:iCs/>
          <w:sz w:val="24"/>
          <w:szCs w:val="24"/>
        </w:rPr>
        <w:t xml:space="preserve">the </w:t>
      </w:r>
      <w:r w:rsidRPr="009D769D">
        <w:rPr>
          <w:rFonts w:eastAsia="Calibri"/>
          <w:bCs/>
          <w:iCs/>
          <w:sz w:val="24"/>
          <w:szCs w:val="24"/>
        </w:rPr>
        <w:t>inability of one jurisdiction of government to effect the action of another</w:t>
      </w:r>
      <w:r>
        <w:rPr>
          <w:rFonts w:eastAsia="Calibri"/>
          <w:bCs/>
          <w:iCs/>
          <w:sz w:val="24"/>
          <w:szCs w:val="24"/>
        </w:rPr>
        <w:t xml:space="preserve"> presents a specific barrier</w:t>
      </w:r>
      <w:r w:rsidRPr="009D769D">
        <w:rPr>
          <w:rFonts w:eastAsia="Calibri"/>
          <w:bCs/>
          <w:iCs/>
          <w:sz w:val="24"/>
          <w:szCs w:val="24"/>
          <w:lang w:val="en-US"/>
        </w:rPr>
        <w:t xml:space="preserve"> </w:t>
      </w:r>
      <w:r>
        <w:rPr>
          <w:rFonts w:eastAsia="Calibri"/>
          <w:bCs/>
          <w:iCs/>
          <w:sz w:val="24"/>
          <w:szCs w:val="24"/>
          <w:lang w:val="en-US"/>
        </w:rPr>
        <w:t xml:space="preserve">(Ubbels and Verhoef, </w:t>
      </w:r>
      <w:r w:rsidRPr="009D769D">
        <w:rPr>
          <w:rFonts w:eastAsia="Calibri"/>
          <w:bCs/>
          <w:iCs/>
          <w:sz w:val="24"/>
          <w:szCs w:val="24"/>
          <w:lang w:val="en-US"/>
        </w:rPr>
        <w:t>2005)</w:t>
      </w:r>
      <w:r>
        <w:rPr>
          <w:rFonts w:eastAsia="Calibri"/>
          <w:bCs/>
          <w:iCs/>
          <w:sz w:val="24"/>
          <w:szCs w:val="24"/>
          <w:lang w:val="en-US"/>
        </w:rPr>
        <w:t>.</w:t>
      </w:r>
      <w:r w:rsidRPr="009D769D">
        <w:rPr>
          <w:rFonts w:eastAsia="Calibri"/>
          <w:bCs/>
          <w:iCs/>
          <w:sz w:val="24"/>
          <w:szCs w:val="24"/>
          <w:lang w:val="en-US"/>
        </w:rPr>
        <w:t xml:space="preserve"> </w:t>
      </w:r>
    </w:p>
    <w:p w:rsidR="00FF1256" w:rsidRDefault="00312ECD" w:rsidP="008C3BED">
      <w:pPr>
        <w:jc w:val="both"/>
        <w:rPr>
          <w:sz w:val="24"/>
          <w:szCs w:val="24"/>
          <w:lang w:val="en-GB"/>
        </w:rPr>
      </w:pPr>
      <w:r>
        <w:rPr>
          <w:rFonts w:eastAsia="Calibri"/>
          <w:sz w:val="24"/>
          <w:szCs w:val="24"/>
          <w:lang w:val="en-GB"/>
        </w:rPr>
        <w:t>T</w:t>
      </w:r>
      <w:r w:rsidRPr="0036533C">
        <w:rPr>
          <w:rFonts w:eastAsia="Calibri"/>
          <w:sz w:val="24"/>
          <w:szCs w:val="24"/>
          <w:lang w:val="en-GB"/>
        </w:rPr>
        <w:t xml:space="preserve">he fragmentation and complexity of institutional environments </w:t>
      </w:r>
      <w:r>
        <w:rPr>
          <w:rFonts w:eastAsia="Calibri"/>
          <w:sz w:val="24"/>
          <w:szCs w:val="24"/>
          <w:lang w:val="en-GB"/>
        </w:rPr>
        <w:t>can be</w:t>
      </w:r>
      <w:r w:rsidRPr="0036533C">
        <w:rPr>
          <w:rFonts w:eastAsia="Calibri"/>
          <w:sz w:val="24"/>
          <w:szCs w:val="24"/>
          <w:lang w:val="en-GB"/>
        </w:rPr>
        <w:t xml:space="preserve"> a problem compounding implementation</w:t>
      </w:r>
      <w:r>
        <w:rPr>
          <w:rFonts w:eastAsia="Calibri"/>
          <w:sz w:val="24"/>
          <w:szCs w:val="24"/>
          <w:lang w:val="en-GB"/>
        </w:rPr>
        <w:t xml:space="preserve"> (Bajaracharya and Khan, </w:t>
      </w:r>
      <w:r w:rsidRPr="0036533C">
        <w:rPr>
          <w:rFonts w:eastAsia="Calibri"/>
          <w:sz w:val="24"/>
          <w:szCs w:val="24"/>
          <w:lang w:val="en-GB"/>
        </w:rPr>
        <w:t>2005).</w:t>
      </w:r>
      <w:r>
        <w:rPr>
          <w:rFonts w:eastAsia="Calibri"/>
          <w:color w:val="0070C0"/>
          <w:lang w:val="en-GB"/>
        </w:rPr>
        <w:t xml:space="preserve"> </w:t>
      </w:r>
      <w:r w:rsidRPr="00A71BE4">
        <w:rPr>
          <w:rFonts w:eastAsia="Calibri"/>
          <w:sz w:val="24"/>
          <w:szCs w:val="24"/>
          <w:lang w:val="en-GB"/>
        </w:rPr>
        <w:t xml:space="preserve"> </w:t>
      </w:r>
      <w:r w:rsidR="000E5A15">
        <w:rPr>
          <w:sz w:val="24"/>
          <w:szCs w:val="24"/>
          <w:lang w:val="en-GB"/>
        </w:rPr>
        <w:t xml:space="preserve">To </w:t>
      </w:r>
      <w:r w:rsidR="00F73008">
        <w:rPr>
          <w:sz w:val="24"/>
          <w:szCs w:val="24"/>
          <w:lang w:val="en-GB"/>
        </w:rPr>
        <w:t>implement</w:t>
      </w:r>
      <w:r w:rsidR="000E5A15">
        <w:rPr>
          <w:sz w:val="24"/>
          <w:szCs w:val="24"/>
          <w:lang w:val="en-GB"/>
        </w:rPr>
        <w:t xml:space="preserve"> TOD require</w:t>
      </w:r>
      <w:r w:rsidR="00530C9D">
        <w:rPr>
          <w:sz w:val="24"/>
          <w:szCs w:val="24"/>
          <w:lang w:val="en-GB"/>
        </w:rPr>
        <w:t>s</w:t>
      </w:r>
      <w:r w:rsidR="00753724">
        <w:rPr>
          <w:sz w:val="24"/>
          <w:szCs w:val="24"/>
          <w:lang w:val="en-GB"/>
        </w:rPr>
        <w:t xml:space="preserve"> strong integration </w:t>
      </w:r>
      <w:r w:rsidR="00014675">
        <w:rPr>
          <w:sz w:val="24"/>
          <w:szCs w:val="24"/>
          <w:lang w:val="en-GB"/>
        </w:rPr>
        <w:t xml:space="preserve">and coordination </w:t>
      </w:r>
      <w:r w:rsidR="00753724">
        <w:rPr>
          <w:sz w:val="24"/>
          <w:szCs w:val="24"/>
          <w:lang w:val="en-GB"/>
        </w:rPr>
        <w:t xml:space="preserve">between different </w:t>
      </w:r>
      <w:r w:rsidR="00633054">
        <w:rPr>
          <w:sz w:val="24"/>
          <w:szCs w:val="24"/>
          <w:lang w:val="en-GB"/>
        </w:rPr>
        <w:t xml:space="preserve">public </w:t>
      </w:r>
      <w:r w:rsidR="00753724">
        <w:rPr>
          <w:sz w:val="24"/>
          <w:szCs w:val="24"/>
          <w:lang w:val="en-GB"/>
        </w:rPr>
        <w:t xml:space="preserve">planning agencies. Strategic transport planners need to determine a public transport network that connects activity centres within the city in order to </w:t>
      </w:r>
      <w:r w:rsidR="00530C9D">
        <w:rPr>
          <w:sz w:val="24"/>
          <w:szCs w:val="24"/>
          <w:lang w:val="en-GB"/>
        </w:rPr>
        <w:t xml:space="preserve">maximise </w:t>
      </w:r>
      <w:r w:rsidR="00F73008">
        <w:rPr>
          <w:sz w:val="24"/>
          <w:szCs w:val="24"/>
          <w:lang w:val="en-GB"/>
        </w:rPr>
        <w:t xml:space="preserve">public transport </w:t>
      </w:r>
      <w:r w:rsidR="00753724">
        <w:rPr>
          <w:sz w:val="24"/>
          <w:szCs w:val="24"/>
          <w:lang w:val="en-GB"/>
        </w:rPr>
        <w:t>accessibility for travellers. Public transport planners need to devise a service pattern and frequency that enables people’s daily activities to be served by public transport. Highway planners have a role in designing street networks that facilitate multi-modal access to and within transit precincts. Town planners must rise to the challenge by identifying</w:t>
      </w:r>
      <w:r w:rsidR="00A33BAD">
        <w:rPr>
          <w:sz w:val="24"/>
          <w:szCs w:val="24"/>
          <w:lang w:val="en-GB"/>
        </w:rPr>
        <w:t>,</w:t>
      </w:r>
      <w:r w:rsidR="00753724">
        <w:rPr>
          <w:sz w:val="24"/>
          <w:szCs w:val="24"/>
          <w:lang w:val="en-GB"/>
        </w:rPr>
        <w:t xml:space="preserve"> </w:t>
      </w:r>
      <w:r w:rsidR="00FA1396">
        <w:rPr>
          <w:sz w:val="24"/>
          <w:szCs w:val="24"/>
          <w:lang w:val="en-GB"/>
        </w:rPr>
        <w:t>at a metropolitan level</w:t>
      </w:r>
      <w:r w:rsidR="00A33BAD">
        <w:rPr>
          <w:sz w:val="24"/>
          <w:szCs w:val="24"/>
          <w:lang w:val="en-GB"/>
        </w:rPr>
        <w:t>,</w:t>
      </w:r>
      <w:r w:rsidR="00FA1396">
        <w:rPr>
          <w:sz w:val="24"/>
          <w:szCs w:val="24"/>
          <w:lang w:val="en-GB"/>
        </w:rPr>
        <w:t xml:space="preserve"> </w:t>
      </w:r>
      <w:r w:rsidR="00753724">
        <w:rPr>
          <w:sz w:val="24"/>
          <w:szCs w:val="24"/>
          <w:lang w:val="en-GB"/>
        </w:rPr>
        <w:t>which activity centres</w:t>
      </w:r>
      <w:r w:rsidR="00FA1396">
        <w:rPr>
          <w:sz w:val="24"/>
          <w:szCs w:val="24"/>
          <w:lang w:val="en-GB"/>
        </w:rPr>
        <w:t xml:space="preserve"> should be designed around public transport accessibility, </w:t>
      </w:r>
      <w:r w:rsidR="00FA1396">
        <w:rPr>
          <w:sz w:val="24"/>
          <w:szCs w:val="24"/>
          <w:lang w:val="en-GB"/>
        </w:rPr>
        <w:lastRenderedPageBreak/>
        <w:t xml:space="preserve">in order </w:t>
      </w:r>
      <w:r w:rsidR="00A33BAD">
        <w:rPr>
          <w:sz w:val="24"/>
          <w:szCs w:val="24"/>
          <w:lang w:val="en-GB"/>
        </w:rPr>
        <w:t xml:space="preserve">that they </w:t>
      </w:r>
      <w:r w:rsidR="00FA1396">
        <w:rPr>
          <w:sz w:val="24"/>
          <w:szCs w:val="24"/>
          <w:lang w:val="en-GB"/>
        </w:rPr>
        <w:t xml:space="preserve">both support public transport patronage and maximise the network of opportunities to pursue daily </w:t>
      </w:r>
      <w:r w:rsidR="00530C9D">
        <w:rPr>
          <w:sz w:val="24"/>
          <w:szCs w:val="24"/>
          <w:lang w:val="en-GB"/>
        </w:rPr>
        <w:t>activities</w:t>
      </w:r>
      <w:r w:rsidR="00FA1396">
        <w:rPr>
          <w:sz w:val="24"/>
          <w:szCs w:val="24"/>
          <w:lang w:val="en-GB"/>
        </w:rPr>
        <w:t xml:space="preserve">.  Town planners also have a role at a transit precinct level in ensuring higher density residential development and higher intensity non-residential development is planned for, facilitated and implemented.  At the urban design level, town planners must pay attention to building orientation for accessibility and building design </w:t>
      </w:r>
      <w:r w:rsidR="00F73008">
        <w:rPr>
          <w:sz w:val="24"/>
          <w:szCs w:val="24"/>
          <w:lang w:val="en-GB"/>
        </w:rPr>
        <w:t>on its contribution to the street/place</w:t>
      </w:r>
      <w:r w:rsidR="00FA1396">
        <w:rPr>
          <w:sz w:val="24"/>
          <w:szCs w:val="24"/>
          <w:lang w:val="en-GB"/>
        </w:rPr>
        <w:t>.</w:t>
      </w:r>
      <w:r w:rsidR="00F73008">
        <w:rPr>
          <w:sz w:val="24"/>
          <w:szCs w:val="24"/>
          <w:lang w:val="en-GB"/>
        </w:rPr>
        <w:t xml:space="preserve">  Added to this there is a critical role market actors and the relationship between land use planners and the property market and developers.</w:t>
      </w:r>
    </w:p>
    <w:p w:rsidR="00312ECD" w:rsidRDefault="00312ECD" w:rsidP="00312ECD">
      <w:pPr>
        <w:rPr>
          <w:b/>
          <w:sz w:val="24"/>
          <w:szCs w:val="24"/>
          <w:lang w:val="en-GB"/>
        </w:rPr>
      </w:pPr>
      <w:r w:rsidRPr="008F48C5">
        <w:rPr>
          <w:b/>
          <w:sz w:val="24"/>
          <w:szCs w:val="24"/>
          <w:lang w:val="en-GB"/>
        </w:rPr>
        <w:t>A conceptual framework for TOD policy implementation</w:t>
      </w:r>
    </w:p>
    <w:p w:rsidR="00A73079" w:rsidRDefault="00A73079" w:rsidP="00A73079">
      <w:pPr>
        <w:jc w:val="both"/>
        <w:rPr>
          <w:rFonts w:eastAsia="Calibri"/>
          <w:sz w:val="24"/>
          <w:szCs w:val="24"/>
          <w:lang w:val="en-GB"/>
        </w:rPr>
      </w:pPr>
      <w:r w:rsidRPr="009D769D">
        <w:rPr>
          <w:rFonts w:eastAsia="Calibri"/>
          <w:sz w:val="24"/>
          <w:szCs w:val="24"/>
        </w:rPr>
        <w:t xml:space="preserve">Barrett and Fudge (1981) provide the early </w:t>
      </w:r>
      <w:r w:rsidR="00721A60">
        <w:rPr>
          <w:rFonts w:eastAsia="Calibri"/>
          <w:sz w:val="24"/>
          <w:szCs w:val="24"/>
        </w:rPr>
        <w:t>insights into</w:t>
      </w:r>
      <w:r w:rsidRPr="009D769D">
        <w:rPr>
          <w:rFonts w:eastAsia="Calibri"/>
          <w:sz w:val="24"/>
          <w:szCs w:val="24"/>
        </w:rPr>
        <w:t xml:space="preserve"> the</w:t>
      </w:r>
      <w:r w:rsidR="00721A60">
        <w:rPr>
          <w:rFonts w:eastAsia="Calibri"/>
          <w:sz w:val="24"/>
          <w:szCs w:val="24"/>
        </w:rPr>
        <w:t xml:space="preserve"> issues of implementation</w:t>
      </w:r>
      <w:r w:rsidRPr="009D769D">
        <w:rPr>
          <w:rFonts w:eastAsia="Calibri"/>
          <w:sz w:val="24"/>
          <w:szCs w:val="24"/>
        </w:rPr>
        <w:t>. They conceptualise policy implementation as ‘putting policy into effect’ (p.4) describing the problem as one where</w:t>
      </w:r>
      <w:r w:rsidR="00C63DB9">
        <w:rPr>
          <w:rFonts w:eastAsia="Calibri"/>
          <w:sz w:val="24"/>
          <w:szCs w:val="24"/>
        </w:rPr>
        <w:t xml:space="preserve"> </w:t>
      </w:r>
      <w:r w:rsidRPr="009D769D">
        <w:rPr>
          <w:rFonts w:eastAsia="Calibri"/>
          <w:sz w:val="24"/>
          <w:szCs w:val="24"/>
        </w:rPr>
        <w:t>“Governments ...appear adept at making statements of intention, but what happens on the ground often falls way short of the original aspirations</w:t>
      </w:r>
      <w:r w:rsidR="00896EAA">
        <w:rPr>
          <w:rFonts w:eastAsia="Calibri"/>
          <w:sz w:val="24"/>
          <w:szCs w:val="24"/>
        </w:rPr>
        <w:t>”</w:t>
      </w:r>
      <w:r w:rsidRPr="009D769D">
        <w:rPr>
          <w:rFonts w:eastAsia="Calibri"/>
          <w:sz w:val="24"/>
          <w:szCs w:val="24"/>
        </w:rPr>
        <w:t xml:space="preserve"> (p3).</w:t>
      </w:r>
      <w:r w:rsidR="00C63DB9">
        <w:rPr>
          <w:rFonts w:eastAsia="Calibri"/>
          <w:sz w:val="24"/>
          <w:szCs w:val="24"/>
        </w:rPr>
        <w:t xml:space="preserve"> </w:t>
      </w:r>
      <w:r w:rsidR="00721A60">
        <w:rPr>
          <w:rFonts w:eastAsia="Calibri"/>
          <w:sz w:val="24"/>
          <w:szCs w:val="24"/>
        </w:rPr>
        <w:t>They</w:t>
      </w:r>
      <w:r w:rsidRPr="009D769D">
        <w:rPr>
          <w:rFonts w:eastAsia="Calibri"/>
          <w:sz w:val="24"/>
          <w:szCs w:val="24"/>
        </w:rPr>
        <w:t xml:space="preserve"> </w:t>
      </w:r>
      <w:r w:rsidR="00721A60">
        <w:rPr>
          <w:rFonts w:eastAsia="Calibri"/>
          <w:sz w:val="24"/>
          <w:szCs w:val="24"/>
        </w:rPr>
        <w:t>contend</w:t>
      </w:r>
      <w:r w:rsidRPr="009D769D">
        <w:rPr>
          <w:rFonts w:eastAsia="Calibri"/>
          <w:sz w:val="24"/>
          <w:szCs w:val="24"/>
        </w:rPr>
        <w:t xml:space="preserve"> that rather than </w:t>
      </w:r>
      <w:r w:rsidR="00721A60">
        <w:rPr>
          <w:rFonts w:eastAsia="Calibri"/>
          <w:sz w:val="24"/>
          <w:szCs w:val="24"/>
        </w:rPr>
        <w:t>this being the</w:t>
      </w:r>
      <w:r w:rsidRPr="009D769D">
        <w:rPr>
          <w:rFonts w:eastAsia="Calibri"/>
          <w:sz w:val="24"/>
          <w:szCs w:val="24"/>
        </w:rPr>
        <w:t xml:space="preserve"> result of an unsuitable “bureaucratic structure“(p.4), implementation depends on knowledge of what to do, the availability of resources and the ability to marshal and control those resources, and on good communication (p.13). Bramley and Kirk’s (2005) more recent work emphasises the import</w:t>
      </w:r>
      <w:r w:rsidR="00721A60">
        <w:rPr>
          <w:rFonts w:eastAsia="Calibri"/>
          <w:sz w:val="24"/>
          <w:szCs w:val="24"/>
        </w:rPr>
        <w:t>ance of understanding ‘context’. They</w:t>
      </w:r>
      <w:r w:rsidRPr="009D769D">
        <w:rPr>
          <w:rFonts w:eastAsia="Calibri"/>
          <w:sz w:val="24"/>
          <w:szCs w:val="24"/>
        </w:rPr>
        <w:t xml:space="preserve"> suggest that when assessing the implementation of plans</w:t>
      </w:r>
      <w:r w:rsidR="00721A60">
        <w:rPr>
          <w:rFonts w:eastAsia="Calibri"/>
          <w:sz w:val="24"/>
          <w:szCs w:val="24"/>
        </w:rPr>
        <w:t>,</w:t>
      </w:r>
      <w:r w:rsidRPr="009D769D">
        <w:rPr>
          <w:rFonts w:eastAsia="Calibri"/>
          <w:sz w:val="24"/>
          <w:szCs w:val="24"/>
        </w:rPr>
        <w:t xml:space="preserve"> the institutional context and the available planning tools</w:t>
      </w:r>
      <w:r w:rsidR="00721A60">
        <w:rPr>
          <w:rFonts w:eastAsia="Calibri"/>
          <w:sz w:val="24"/>
          <w:szCs w:val="24"/>
        </w:rPr>
        <w:t xml:space="preserve"> must be considered together with </w:t>
      </w:r>
      <w:r w:rsidRPr="009D769D">
        <w:rPr>
          <w:rFonts w:eastAsia="Calibri"/>
          <w:sz w:val="24"/>
          <w:szCs w:val="24"/>
        </w:rPr>
        <w:t>the context in which</w:t>
      </w:r>
      <w:r w:rsidR="00721A60">
        <w:rPr>
          <w:rFonts w:eastAsia="Calibri"/>
          <w:sz w:val="24"/>
          <w:szCs w:val="24"/>
        </w:rPr>
        <w:t xml:space="preserve"> the policy was formulated</w:t>
      </w:r>
      <w:r w:rsidRPr="009D769D">
        <w:rPr>
          <w:rFonts w:eastAsia="Calibri"/>
          <w:sz w:val="24"/>
          <w:szCs w:val="24"/>
        </w:rPr>
        <w:t>.</w:t>
      </w:r>
    </w:p>
    <w:p w:rsidR="00A73079" w:rsidRDefault="00A73079" w:rsidP="00A73079">
      <w:pPr>
        <w:jc w:val="both"/>
        <w:rPr>
          <w:sz w:val="24"/>
          <w:szCs w:val="24"/>
        </w:rPr>
      </w:pPr>
      <w:r w:rsidRPr="008C3BED">
        <w:rPr>
          <w:sz w:val="24"/>
          <w:szCs w:val="24"/>
        </w:rPr>
        <w:t xml:space="preserve">Two key theoretical frameworks for implementation </w:t>
      </w:r>
      <w:r>
        <w:rPr>
          <w:sz w:val="24"/>
          <w:szCs w:val="24"/>
        </w:rPr>
        <w:t>are discussed</w:t>
      </w:r>
      <w:r w:rsidRPr="008C3BED">
        <w:rPr>
          <w:sz w:val="24"/>
          <w:szCs w:val="24"/>
        </w:rPr>
        <w:t xml:space="preserve"> in the literature (Barrett and Fudge, 1981; Ennis, 1997; Faludi, 2004; Albrecht, 2004; </w:t>
      </w:r>
      <w:r>
        <w:rPr>
          <w:sz w:val="24"/>
          <w:szCs w:val="24"/>
        </w:rPr>
        <w:t>Altes, 2006</w:t>
      </w:r>
      <w:r w:rsidRPr="008C3BED">
        <w:rPr>
          <w:sz w:val="24"/>
          <w:szCs w:val="24"/>
        </w:rPr>
        <w:t>): the concepts of ‘conformance’ (termed compliance by Barrett and Fudge, 1981) and ‘performance’ (referred to as a process of negotiation, or action and response by Barrett and Fudge).  ‘Conformance’ has its focus on assessing how well the plan is implemented in relation to the original intention. This is based on the assumption that the plan is the blueprint for the preferred solution and that any problems involved in the implementation of the plan arise because of conflicts in the hierarchical structure (managerial or organisational) of planning agencies. ‘Performance’ on the other hand, takes into consideration two key factors – stakeholders and time and the relationship between the two. The first</w:t>
      </w:r>
      <w:r w:rsidR="001E1848">
        <w:rPr>
          <w:sz w:val="24"/>
          <w:szCs w:val="24"/>
        </w:rPr>
        <w:t xml:space="preserve"> factor, then,</w:t>
      </w:r>
      <w:r w:rsidRPr="008C3BED">
        <w:rPr>
          <w:sz w:val="24"/>
          <w:szCs w:val="24"/>
        </w:rPr>
        <w:t xml:space="preserve"> recognises that there are multiple stakeholders in the planning process </w:t>
      </w:r>
      <w:r>
        <w:rPr>
          <w:sz w:val="24"/>
          <w:szCs w:val="24"/>
        </w:rPr>
        <w:t xml:space="preserve">and </w:t>
      </w:r>
      <w:r w:rsidRPr="008C3BED">
        <w:rPr>
          <w:sz w:val="24"/>
          <w:szCs w:val="24"/>
        </w:rPr>
        <w:t xml:space="preserve">each may be at a different stage in the implementation process. Each </w:t>
      </w:r>
      <w:r>
        <w:rPr>
          <w:sz w:val="24"/>
          <w:szCs w:val="24"/>
        </w:rPr>
        <w:t xml:space="preserve">stakeholder </w:t>
      </w:r>
      <w:r w:rsidRPr="008C3BED">
        <w:rPr>
          <w:sz w:val="24"/>
          <w:szCs w:val="24"/>
        </w:rPr>
        <w:t xml:space="preserve">may also apply different measures to assess success of implementation.  The second factor relates to stages in implementation, drawing a distinction between formulation and implementation, although Hull </w:t>
      </w:r>
      <w:r w:rsidRPr="00DC2712">
        <w:rPr>
          <w:i/>
          <w:sz w:val="24"/>
          <w:szCs w:val="24"/>
        </w:rPr>
        <w:t xml:space="preserve">et al </w:t>
      </w:r>
      <w:r w:rsidRPr="008C3BED">
        <w:rPr>
          <w:sz w:val="24"/>
          <w:szCs w:val="24"/>
        </w:rPr>
        <w:t xml:space="preserve">(2007) comment on the difficulties of actually distinguishing such </w:t>
      </w:r>
      <w:r>
        <w:rPr>
          <w:sz w:val="24"/>
          <w:szCs w:val="24"/>
        </w:rPr>
        <w:t xml:space="preserve">a </w:t>
      </w:r>
      <w:r w:rsidRPr="008C3BED">
        <w:rPr>
          <w:sz w:val="24"/>
          <w:szCs w:val="24"/>
        </w:rPr>
        <w:t xml:space="preserve">stage. The impact of time is </w:t>
      </w:r>
      <w:r w:rsidR="001E1848">
        <w:rPr>
          <w:sz w:val="24"/>
          <w:szCs w:val="24"/>
        </w:rPr>
        <w:t>important</w:t>
      </w:r>
      <w:r w:rsidRPr="008C3BED">
        <w:rPr>
          <w:sz w:val="24"/>
          <w:szCs w:val="24"/>
        </w:rPr>
        <w:t xml:space="preserve">, recognising that the knowledge available at the time the plan is implemented may be different to that available when the plan was formulated (particularly where implementation continues long after formulation). This later factor is further impacted </w:t>
      </w:r>
      <w:r>
        <w:rPr>
          <w:sz w:val="24"/>
          <w:szCs w:val="24"/>
        </w:rPr>
        <w:t>where</w:t>
      </w:r>
      <w:r w:rsidRPr="008C3BED">
        <w:rPr>
          <w:sz w:val="24"/>
          <w:szCs w:val="24"/>
        </w:rPr>
        <w:t xml:space="preserve"> stakeholders change over time. </w:t>
      </w:r>
    </w:p>
    <w:p w:rsidR="001E1848" w:rsidRDefault="00A73079" w:rsidP="00A73079">
      <w:pPr>
        <w:jc w:val="both"/>
        <w:rPr>
          <w:sz w:val="24"/>
          <w:szCs w:val="24"/>
        </w:rPr>
      </w:pPr>
      <w:r w:rsidRPr="008C3BED">
        <w:rPr>
          <w:sz w:val="24"/>
          <w:szCs w:val="24"/>
        </w:rPr>
        <w:t xml:space="preserve">Drawing on the above understanding of implementation, </w:t>
      </w:r>
      <w:r w:rsidR="001E1848">
        <w:rPr>
          <w:sz w:val="24"/>
          <w:szCs w:val="24"/>
        </w:rPr>
        <w:t>this author contends that rather than being alternative viewpoints, the concepts of conformance and performance are complementary</w:t>
      </w:r>
      <w:r w:rsidR="004A0A49">
        <w:rPr>
          <w:sz w:val="24"/>
          <w:szCs w:val="24"/>
        </w:rPr>
        <w:t xml:space="preserve">.  </w:t>
      </w:r>
      <w:r w:rsidR="00FE6F4F">
        <w:rPr>
          <w:sz w:val="24"/>
          <w:szCs w:val="24"/>
        </w:rPr>
        <w:t xml:space="preserve">It is possible to ask, first, how well </w:t>
      </w:r>
      <w:r w:rsidR="00955105">
        <w:rPr>
          <w:sz w:val="24"/>
          <w:szCs w:val="24"/>
        </w:rPr>
        <w:t>the policy has</w:t>
      </w:r>
      <w:r w:rsidR="00FE6F4F">
        <w:rPr>
          <w:sz w:val="24"/>
          <w:szCs w:val="24"/>
        </w:rPr>
        <w:t xml:space="preserve"> been implemented, thereby considering conformance. Next</w:t>
      </w:r>
      <w:r w:rsidR="00955105">
        <w:rPr>
          <w:sz w:val="24"/>
          <w:szCs w:val="24"/>
        </w:rPr>
        <w:t xml:space="preserve">, performance can be assessed by considering if there should be differing measures of successful implementation depending on other criteria such as place, time and the interaction with other stakeholders.  This is the approach taken in this paper, asking: 1) Has  State TOD policy been implemented, a) through translation from State to local policy, and b) through development change; 2) Should implementation success be measured differently by a) place </w:t>
      </w:r>
      <w:r w:rsidR="00955105">
        <w:rPr>
          <w:sz w:val="24"/>
          <w:szCs w:val="24"/>
        </w:rPr>
        <w:lastRenderedPageBreak/>
        <w:t>(which station precincts should be TODs); b) time (taking into account the age of State and local policies; c) stakeholders (how has town planning implementation related to the actions of transport planners in building railway infrastructure).</w:t>
      </w:r>
    </w:p>
    <w:p w:rsidR="004F7176" w:rsidRPr="004F7176" w:rsidRDefault="004F7176" w:rsidP="008C3BED">
      <w:pPr>
        <w:jc w:val="both"/>
        <w:rPr>
          <w:b/>
          <w:bCs/>
          <w:iCs/>
          <w:sz w:val="24"/>
          <w:szCs w:val="24"/>
        </w:rPr>
      </w:pPr>
      <w:r w:rsidRPr="00C2536C">
        <w:rPr>
          <w:b/>
          <w:bCs/>
          <w:iCs/>
          <w:sz w:val="24"/>
          <w:szCs w:val="24"/>
        </w:rPr>
        <w:t>Research approach</w:t>
      </w:r>
      <w:r w:rsidR="00A73079">
        <w:rPr>
          <w:b/>
          <w:bCs/>
          <w:iCs/>
          <w:sz w:val="24"/>
          <w:szCs w:val="24"/>
        </w:rPr>
        <w:t xml:space="preserve"> </w:t>
      </w:r>
    </w:p>
    <w:p w:rsidR="00ED2A4B" w:rsidRDefault="00C2536C" w:rsidP="00ED2A4B">
      <w:pPr>
        <w:jc w:val="both"/>
        <w:rPr>
          <w:bCs/>
          <w:iCs/>
          <w:sz w:val="24"/>
          <w:szCs w:val="24"/>
        </w:rPr>
      </w:pPr>
      <w:r>
        <w:rPr>
          <w:bCs/>
          <w:iCs/>
          <w:sz w:val="24"/>
          <w:szCs w:val="24"/>
        </w:rPr>
        <w:t xml:space="preserve">This research employs a case study approach, using Perth, Australia as the case. </w:t>
      </w:r>
      <w:r w:rsidRPr="00C2536C">
        <w:rPr>
          <w:bCs/>
          <w:iCs/>
          <w:sz w:val="24"/>
          <w:szCs w:val="24"/>
        </w:rPr>
        <w:t xml:space="preserve">The case is appropriate </w:t>
      </w:r>
      <w:r w:rsidR="00955105">
        <w:rPr>
          <w:bCs/>
          <w:iCs/>
          <w:sz w:val="24"/>
          <w:szCs w:val="24"/>
        </w:rPr>
        <w:t>because Perth has been</w:t>
      </w:r>
      <w:r w:rsidRPr="00C2536C">
        <w:rPr>
          <w:bCs/>
          <w:iCs/>
          <w:sz w:val="24"/>
          <w:szCs w:val="24"/>
        </w:rPr>
        <w:t xml:space="preserve"> one of the most deliberate attempts worldwide to move from car</w:t>
      </w:r>
      <w:r>
        <w:rPr>
          <w:bCs/>
          <w:iCs/>
          <w:sz w:val="24"/>
          <w:szCs w:val="24"/>
        </w:rPr>
        <w:t xml:space="preserve"> dependent </w:t>
      </w:r>
      <w:r w:rsidRPr="00C2536C">
        <w:rPr>
          <w:bCs/>
          <w:iCs/>
          <w:sz w:val="24"/>
          <w:szCs w:val="24"/>
        </w:rPr>
        <w:t>development patterns</w:t>
      </w:r>
      <w:r>
        <w:rPr>
          <w:bCs/>
          <w:iCs/>
          <w:sz w:val="24"/>
          <w:szCs w:val="24"/>
        </w:rPr>
        <w:t xml:space="preserve"> to transit o</w:t>
      </w:r>
      <w:r w:rsidRPr="00C2536C">
        <w:rPr>
          <w:bCs/>
          <w:iCs/>
          <w:sz w:val="24"/>
          <w:szCs w:val="24"/>
        </w:rPr>
        <w:t>riented</w:t>
      </w:r>
      <w:r>
        <w:rPr>
          <w:bCs/>
          <w:iCs/>
          <w:sz w:val="24"/>
          <w:szCs w:val="24"/>
        </w:rPr>
        <w:t xml:space="preserve"> development. </w:t>
      </w:r>
      <w:r w:rsidR="00527977">
        <w:rPr>
          <w:bCs/>
          <w:iCs/>
          <w:sz w:val="24"/>
          <w:szCs w:val="24"/>
        </w:rPr>
        <w:t xml:space="preserve">Furthermore Perth has a long standing TOD policy, first introduced in 1988, and it would be reasonable to assess implementation given this timescale. </w:t>
      </w:r>
      <w:r w:rsidR="00955105">
        <w:rPr>
          <w:bCs/>
          <w:iCs/>
          <w:sz w:val="24"/>
          <w:szCs w:val="24"/>
        </w:rPr>
        <w:t xml:space="preserve">In addition there have been three different town planning approaches to implement TOD: 1) conventional town planning process whereby State policy is translated to local policy and implementation depends upon private sector developer action; 2) Redevelopment Authorities where conventional town planning process is suspended; and 3) </w:t>
      </w:r>
      <w:r w:rsidR="00E113CC">
        <w:rPr>
          <w:bCs/>
          <w:iCs/>
          <w:sz w:val="24"/>
          <w:szCs w:val="24"/>
        </w:rPr>
        <w:t xml:space="preserve">State as developer operating a quasi RDA model. </w:t>
      </w:r>
      <w:r w:rsidR="00ED2A4B">
        <w:rPr>
          <w:bCs/>
          <w:iCs/>
          <w:sz w:val="24"/>
          <w:szCs w:val="24"/>
        </w:rPr>
        <w:t>T</w:t>
      </w:r>
      <w:r w:rsidR="00ED2A4B" w:rsidRPr="00736BC4">
        <w:rPr>
          <w:bCs/>
          <w:iCs/>
          <w:sz w:val="24"/>
          <w:szCs w:val="24"/>
        </w:rPr>
        <w:t xml:space="preserve">his paper </w:t>
      </w:r>
      <w:r w:rsidR="00ED2A4B">
        <w:rPr>
          <w:bCs/>
          <w:iCs/>
          <w:sz w:val="24"/>
          <w:szCs w:val="24"/>
        </w:rPr>
        <w:t xml:space="preserve">examines the extent to which </w:t>
      </w:r>
      <w:r w:rsidR="00E113CC">
        <w:rPr>
          <w:bCs/>
          <w:iCs/>
          <w:sz w:val="24"/>
          <w:szCs w:val="24"/>
        </w:rPr>
        <w:t xml:space="preserve">these </w:t>
      </w:r>
      <w:r w:rsidR="00ED2A4B">
        <w:rPr>
          <w:bCs/>
          <w:iCs/>
          <w:sz w:val="24"/>
          <w:szCs w:val="24"/>
        </w:rPr>
        <w:t xml:space="preserve">different </w:t>
      </w:r>
      <w:r w:rsidR="00E113CC">
        <w:rPr>
          <w:bCs/>
          <w:iCs/>
          <w:sz w:val="24"/>
          <w:szCs w:val="24"/>
        </w:rPr>
        <w:t>approaches</w:t>
      </w:r>
      <w:r w:rsidR="00ED2A4B">
        <w:rPr>
          <w:bCs/>
          <w:iCs/>
          <w:sz w:val="24"/>
          <w:szCs w:val="24"/>
        </w:rPr>
        <w:t xml:space="preserve"> succeed in implementing transit oriented development (TOD). A</w:t>
      </w:r>
      <w:r w:rsidR="00ED2A4B" w:rsidRPr="00A33BAD">
        <w:rPr>
          <w:bCs/>
          <w:iCs/>
          <w:sz w:val="24"/>
          <w:szCs w:val="24"/>
        </w:rPr>
        <w:t xml:space="preserve"> series of research investigations</w:t>
      </w:r>
      <w:r w:rsidR="00ED2A4B">
        <w:rPr>
          <w:bCs/>
          <w:iCs/>
          <w:sz w:val="24"/>
          <w:szCs w:val="24"/>
        </w:rPr>
        <w:t xml:space="preserve"> are made: </w:t>
      </w:r>
    </w:p>
    <w:p w:rsidR="00ED2A4B" w:rsidRDefault="00ED2A4B" w:rsidP="00527977">
      <w:pPr>
        <w:jc w:val="both"/>
        <w:rPr>
          <w:bCs/>
          <w:iCs/>
          <w:sz w:val="24"/>
          <w:szCs w:val="24"/>
        </w:rPr>
      </w:pPr>
      <w:r>
        <w:rPr>
          <w:bCs/>
          <w:iCs/>
          <w:sz w:val="24"/>
          <w:szCs w:val="24"/>
        </w:rPr>
        <w:t>1) A</w:t>
      </w:r>
      <w:r w:rsidRPr="00A33BAD">
        <w:rPr>
          <w:bCs/>
          <w:iCs/>
          <w:sz w:val="24"/>
          <w:szCs w:val="24"/>
        </w:rPr>
        <w:t xml:space="preserve"> policy content analysis examines the articulation of state planning policies</w:t>
      </w:r>
      <w:r>
        <w:rPr>
          <w:bCs/>
          <w:iCs/>
          <w:sz w:val="24"/>
          <w:szCs w:val="24"/>
        </w:rPr>
        <w:t xml:space="preserve"> for TOD</w:t>
      </w:r>
      <w:r w:rsidRPr="00A33BAD">
        <w:rPr>
          <w:bCs/>
          <w:iCs/>
          <w:sz w:val="24"/>
          <w:szCs w:val="24"/>
        </w:rPr>
        <w:t xml:space="preserve"> to the local government level. Implementation of </w:t>
      </w:r>
      <w:r>
        <w:rPr>
          <w:bCs/>
          <w:iCs/>
          <w:sz w:val="24"/>
          <w:szCs w:val="24"/>
        </w:rPr>
        <w:t>local</w:t>
      </w:r>
      <w:r w:rsidRPr="00A33BAD">
        <w:rPr>
          <w:bCs/>
          <w:iCs/>
          <w:sz w:val="24"/>
          <w:szCs w:val="24"/>
        </w:rPr>
        <w:t xml:space="preserve"> policy is </w:t>
      </w:r>
      <w:r>
        <w:rPr>
          <w:bCs/>
          <w:iCs/>
          <w:sz w:val="24"/>
          <w:szCs w:val="24"/>
        </w:rPr>
        <w:t>then</w:t>
      </w:r>
      <w:r w:rsidRPr="00A33BAD">
        <w:rPr>
          <w:bCs/>
          <w:iCs/>
          <w:sz w:val="24"/>
          <w:szCs w:val="24"/>
        </w:rPr>
        <w:t xml:space="preserve"> assessed by examining the extent of ‘on-ground’ development around all </w:t>
      </w:r>
      <w:r>
        <w:rPr>
          <w:bCs/>
          <w:iCs/>
          <w:sz w:val="24"/>
          <w:szCs w:val="24"/>
        </w:rPr>
        <w:t>metropolitan</w:t>
      </w:r>
      <w:r w:rsidRPr="00A33BAD">
        <w:rPr>
          <w:bCs/>
          <w:iCs/>
          <w:sz w:val="24"/>
          <w:szCs w:val="24"/>
        </w:rPr>
        <w:t xml:space="preserve"> station precincts. </w:t>
      </w:r>
    </w:p>
    <w:p w:rsidR="00E113CC" w:rsidRDefault="00ED2A4B" w:rsidP="00527977">
      <w:pPr>
        <w:jc w:val="both"/>
        <w:rPr>
          <w:bCs/>
          <w:iCs/>
          <w:sz w:val="24"/>
          <w:szCs w:val="24"/>
        </w:rPr>
      </w:pPr>
      <w:r>
        <w:rPr>
          <w:bCs/>
          <w:iCs/>
          <w:sz w:val="24"/>
          <w:szCs w:val="24"/>
        </w:rPr>
        <w:t xml:space="preserve">2) </w:t>
      </w:r>
      <w:r w:rsidR="00527977">
        <w:rPr>
          <w:bCs/>
          <w:iCs/>
          <w:sz w:val="24"/>
          <w:szCs w:val="24"/>
        </w:rPr>
        <w:t>A mapping analysis is made of</w:t>
      </w:r>
      <w:r>
        <w:rPr>
          <w:bCs/>
          <w:iCs/>
          <w:sz w:val="24"/>
          <w:szCs w:val="24"/>
        </w:rPr>
        <w:t xml:space="preserve"> land use </w:t>
      </w:r>
      <w:r w:rsidR="00157A08">
        <w:rPr>
          <w:bCs/>
          <w:iCs/>
          <w:sz w:val="24"/>
          <w:szCs w:val="24"/>
        </w:rPr>
        <w:t xml:space="preserve">in 2007 </w:t>
      </w:r>
      <w:r>
        <w:rPr>
          <w:bCs/>
          <w:iCs/>
          <w:sz w:val="24"/>
          <w:szCs w:val="24"/>
        </w:rPr>
        <w:t>in Perth’s 68 station precincts.</w:t>
      </w:r>
      <w:r w:rsidR="00527977">
        <w:rPr>
          <w:bCs/>
          <w:iCs/>
          <w:sz w:val="24"/>
          <w:szCs w:val="24"/>
        </w:rPr>
        <w:t xml:space="preserve">  This is supplemented with information about residential </w:t>
      </w:r>
      <w:r w:rsidR="00E113CC">
        <w:rPr>
          <w:bCs/>
          <w:iCs/>
          <w:sz w:val="24"/>
          <w:szCs w:val="24"/>
        </w:rPr>
        <w:t xml:space="preserve">and employee </w:t>
      </w:r>
      <w:r w:rsidR="00527977">
        <w:rPr>
          <w:bCs/>
          <w:iCs/>
          <w:sz w:val="24"/>
          <w:szCs w:val="24"/>
        </w:rPr>
        <w:t>population in each precinct.</w:t>
      </w:r>
      <w:r>
        <w:rPr>
          <w:bCs/>
          <w:iCs/>
          <w:sz w:val="24"/>
          <w:szCs w:val="24"/>
        </w:rPr>
        <w:t xml:space="preserve">  This </w:t>
      </w:r>
      <w:r w:rsidR="00527977">
        <w:rPr>
          <w:bCs/>
          <w:iCs/>
          <w:sz w:val="24"/>
          <w:szCs w:val="24"/>
        </w:rPr>
        <w:t>provides an examination of the implementation</w:t>
      </w:r>
      <w:r>
        <w:rPr>
          <w:bCs/>
          <w:iCs/>
          <w:sz w:val="24"/>
          <w:szCs w:val="24"/>
        </w:rPr>
        <w:t xml:space="preserve"> of </w:t>
      </w:r>
      <w:r w:rsidR="00527977">
        <w:rPr>
          <w:bCs/>
          <w:iCs/>
          <w:sz w:val="24"/>
          <w:szCs w:val="24"/>
        </w:rPr>
        <w:t>TPS</w:t>
      </w:r>
      <w:r>
        <w:rPr>
          <w:bCs/>
          <w:iCs/>
          <w:sz w:val="24"/>
          <w:szCs w:val="24"/>
        </w:rPr>
        <w:t xml:space="preserve"> </w:t>
      </w:r>
      <w:r w:rsidRPr="00736BC4">
        <w:rPr>
          <w:bCs/>
          <w:iCs/>
          <w:sz w:val="24"/>
          <w:szCs w:val="24"/>
        </w:rPr>
        <w:t>by development change</w:t>
      </w:r>
      <w:r w:rsidR="00527977">
        <w:rPr>
          <w:bCs/>
          <w:iCs/>
          <w:sz w:val="24"/>
          <w:szCs w:val="24"/>
        </w:rPr>
        <w:t xml:space="preserve">.  </w:t>
      </w:r>
    </w:p>
    <w:p w:rsidR="00527977" w:rsidRDefault="00527977" w:rsidP="00527977">
      <w:pPr>
        <w:jc w:val="both"/>
        <w:rPr>
          <w:bCs/>
          <w:iCs/>
          <w:sz w:val="24"/>
          <w:szCs w:val="24"/>
        </w:rPr>
      </w:pPr>
      <w:r>
        <w:rPr>
          <w:bCs/>
          <w:iCs/>
          <w:sz w:val="24"/>
          <w:szCs w:val="24"/>
        </w:rPr>
        <w:t xml:space="preserve">3) An assessment is made of which </w:t>
      </w:r>
      <w:r w:rsidR="00E113CC">
        <w:rPr>
          <w:bCs/>
          <w:iCs/>
          <w:sz w:val="24"/>
          <w:szCs w:val="24"/>
        </w:rPr>
        <w:t>town</w:t>
      </w:r>
      <w:r>
        <w:rPr>
          <w:bCs/>
          <w:iCs/>
          <w:sz w:val="24"/>
          <w:szCs w:val="24"/>
        </w:rPr>
        <w:t xml:space="preserve"> planning approaches are most effective in implementing TOD policy comparing </w:t>
      </w:r>
      <w:r w:rsidR="007B2E7B">
        <w:rPr>
          <w:bCs/>
          <w:iCs/>
          <w:sz w:val="24"/>
          <w:szCs w:val="24"/>
        </w:rPr>
        <w:t xml:space="preserve">the conventional state-local town planning </w:t>
      </w:r>
      <w:r w:rsidR="00E113CC">
        <w:rPr>
          <w:bCs/>
          <w:iCs/>
          <w:sz w:val="24"/>
          <w:szCs w:val="24"/>
        </w:rPr>
        <w:t>approach</w:t>
      </w:r>
      <w:r w:rsidR="007B2E7B">
        <w:rPr>
          <w:bCs/>
          <w:iCs/>
          <w:sz w:val="24"/>
          <w:szCs w:val="24"/>
        </w:rPr>
        <w:t xml:space="preserve"> with </w:t>
      </w:r>
      <w:r w:rsidR="00E113CC">
        <w:rPr>
          <w:bCs/>
          <w:iCs/>
          <w:sz w:val="24"/>
          <w:szCs w:val="24"/>
        </w:rPr>
        <w:t>the state led development agency approaches</w:t>
      </w:r>
      <w:r w:rsidR="007B2E7B">
        <w:rPr>
          <w:bCs/>
          <w:iCs/>
          <w:sz w:val="24"/>
          <w:szCs w:val="24"/>
        </w:rPr>
        <w:t>.</w:t>
      </w:r>
    </w:p>
    <w:p w:rsidR="004B06E3" w:rsidRDefault="004B06E3" w:rsidP="00527977">
      <w:pPr>
        <w:jc w:val="both"/>
        <w:rPr>
          <w:bCs/>
          <w:iCs/>
          <w:sz w:val="24"/>
          <w:szCs w:val="24"/>
        </w:rPr>
      </w:pPr>
      <w:r>
        <w:rPr>
          <w:bCs/>
          <w:iCs/>
          <w:sz w:val="24"/>
          <w:szCs w:val="24"/>
        </w:rPr>
        <w:t>4) The relationship between town planning action and transport infrastructure implementation is considered.</w:t>
      </w:r>
    </w:p>
    <w:p w:rsidR="00ED2A4B" w:rsidRPr="00A33BAD" w:rsidRDefault="007B2E7B" w:rsidP="00527977">
      <w:pPr>
        <w:jc w:val="both"/>
        <w:rPr>
          <w:bCs/>
          <w:iCs/>
          <w:sz w:val="24"/>
          <w:szCs w:val="24"/>
        </w:rPr>
      </w:pPr>
      <w:r>
        <w:rPr>
          <w:bCs/>
          <w:iCs/>
          <w:sz w:val="24"/>
          <w:szCs w:val="24"/>
        </w:rPr>
        <w:t>As noted above, implementing TOD requires the actions of many public agencies, both land use planning and public transport. T</w:t>
      </w:r>
      <w:r w:rsidR="00ED2A4B">
        <w:rPr>
          <w:bCs/>
          <w:iCs/>
          <w:sz w:val="24"/>
          <w:szCs w:val="24"/>
        </w:rPr>
        <w:t xml:space="preserve">he role of market </w:t>
      </w:r>
      <w:r>
        <w:rPr>
          <w:bCs/>
          <w:iCs/>
          <w:sz w:val="24"/>
          <w:szCs w:val="24"/>
        </w:rPr>
        <w:t xml:space="preserve">actors (property market/developers) and local community </w:t>
      </w:r>
      <w:r w:rsidR="00ED2A4B">
        <w:rPr>
          <w:bCs/>
          <w:iCs/>
          <w:sz w:val="24"/>
          <w:szCs w:val="24"/>
        </w:rPr>
        <w:t xml:space="preserve">are also key factors for </w:t>
      </w:r>
      <w:r w:rsidR="00E113CC">
        <w:rPr>
          <w:bCs/>
          <w:iCs/>
          <w:sz w:val="24"/>
          <w:szCs w:val="24"/>
        </w:rPr>
        <w:t xml:space="preserve">successful </w:t>
      </w:r>
      <w:r w:rsidR="00ED2A4B">
        <w:rPr>
          <w:bCs/>
          <w:iCs/>
          <w:sz w:val="24"/>
          <w:szCs w:val="24"/>
        </w:rPr>
        <w:t>implementation of TOD</w:t>
      </w:r>
      <w:r>
        <w:rPr>
          <w:bCs/>
          <w:iCs/>
          <w:sz w:val="24"/>
          <w:szCs w:val="24"/>
        </w:rPr>
        <w:t>.</w:t>
      </w:r>
      <w:r w:rsidR="00ED2A4B">
        <w:rPr>
          <w:bCs/>
          <w:iCs/>
          <w:sz w:val="24"/>
          <w:szCs w:val="24"/>
        </w:rPr>
        <w:t xml:space="preserve"> </w:t>
      </w:r>
      <w:r>
        <w:rPr>
          <w:bCs/>
          <w:iCs/>
          <w:sz w:val="24"/>
          <w:szCs w:val="24"/>
        </w:rPr>
        <w:t>I</w:t>
      </w:r>
      <w:r w:rsidR="00ED2A4B">
        <w:rPr>
          <w:bCs/>
          <w:iCs/>
          <w:sz w:val="24"/>
          <w:szCs w:val="24"/>
        </w:rPr>
        <w:t>t is not the intention of this paper</w:t>
      </w:r>
      <w:r>
        <w:rPr>
          <w:bCs/>
          <w:iCs/>
          <w:sz w:val="24"/>
          <w:szCs w:val="24"/>
        </w:rPr>
        <w:t>, however,</w:t>
      </w:r>
      <w:r w:rsidR="00ED2A4B">
        <w:rPr>
          <w:bCs/>
          <w:iCs/>
          <w:sz w:val="24"/>
          <w:szCs w:val="24"/>
        </w:rPr>
        <w:t xml:space="preserve"> to examine </w:t>
      </w:r>
      <w:r>
        <w:rPr>
          <w:bCs/>
          <w:iCs/>
          <w:sz w:val="24"/>
          <w:szCs w:val="24"/>
        </w:rPr>
        <w:t>all actors</w:t>
      </w:r>
      <w:r w:rsidR="00ED2A4B">
        <w:rPr>
          <w:bCs/>
          <w:iCs/>
          <w:sz w:val="24"/>
          <w:szCs w:val="24"/>
        </w:rPr>
        <w:t xml:space="preserve">; instead </w:t>
      </w:r>
      <w:r>
        <w:rPr>
          <w:bCs/>
          <w:iCs/>
          <w:sz w:val="24"/>
          <w:szCs w:val="24"/>
        </w:rPr>
        <w:t>this paper plays a deliberate role in examini</w:t>
      </w:r>
      <w:r w:rsidR="00E113CC">
        <w:rPr>
          <w:bCs/>
          <w:iCs/>
          <w:sz w:val="24"/>
          <w:szCs w:val="24"/>
        </w:rPr>
        <w:t>ng one dimension – town planners</w:t>
      </w:r>
      <w:r>
        <w:rPr>
          <w:bCs/>
          <w:iCs/>
          <w:sz w:val="24"/>
          <w:szCs w:val="24"/>
        </w:rPr>
        <w:t>. There</w:t>
      </w:r>
      <w:r w:rsidR="00ED2A4B">
        <w:rPr>
          <w:bCs/>
          <w:iCs/>
          <w:sz w:val="24"/>
          <w:szCs w:val="24"/>
        </w:rPr>
        <w:t xml:space="preserve"> is a need to provide an in-depth critique </w:t>
      </w:r>
      <w:r>
        <w:rPr>
          <w:bCs/>
          <w:iCs/>
          <w:sz w:val="24"/>
          <w:szCs w:val="24"/>
        </w:rPr>
        <w:t xml:space="preserve">of the contribution of </w:t>
      </w:r>
      <w:r w:rsidR="00E113CC">
        <w:rPr>
          <w:bCs/>
          <w:iCs/>
          <w:sz w:val="24"/>
          <w:szCs w:val="24"/>
        </w:rPr>
        <w:t>town planning to TOD. Rigorous</w:t>
      </w:r>
      <w:r>
        <w:rPr>
          <w:bCs/>
          <w:iCs/>
          <w:sz w:val="24"/>
          <w:szCs w:val="24"/>
        </w:rPr>
        <w:t xml:space="preserve"> monitoring </w:t>
      </w:r>
      <w:r w:rsidR="00E113CC">
        <w:rPr>
          <w:bCs/>
          <w:iCs/>
          <w:sz w:val="24"/>
          <w:szCs w:val="24"/>
        </w:rPr>
        <w:t>of the</w:t>
      </w:r>
      <w:r>
        <w:rPr>
          <w:bCs/>
          <w:iCs/>
          <w:sz w:val="24"/>
          <w:szCs w:val="24"/>
        </w:rPr>
        <w:t xml:space="preserve"> implementation of town planning policy is rarely undertaken and the findings will show that changes to town planning practice are needed if effective and timely implementation is to occur</w:t>
      </w:r>
      <w:r w:rsidR="00ED2A4B">
        <w:rPr>
          <w:bCs/>
          <w:iCs/>
          <w:sz w:val="24"/>
          <w:szCs w:val="24"/>
        </w:rPr>
        <w:t>.</w:t>
      </w:r>
    </w:p>
    <w:p w:rsidR="004B06E3" w:rsidRDefault="004B06E3" w:rsidP="004B06E3">
      <w:pPr>
        <w:rPr>
          <w:b/>
          <w:sz w:val="24"/>
          <w:szCs w:val="24"/>
          <w:lang w:val="en-GB"/>
        </w:rPr>
      </w:pPr>
      <w:r>
        <w:rPr>
          <w:b/>
          <w:sz w:val="24"/>
          <w:szCs w:val="24"/>
          <w:lang w:val="en-GB"/>
        </w:rPr>
        <w:t>Planning Policy for TOD: Perth, Western Australia</w:t>
      </w:r>
    </w:p>
    <w:p w:rsidR="00C2536C" w:rsidRDefault="004B06E3" w:rsidP="008C3BED">
      <w:pPr>
        <w:jc w:val="both"/>
        <w:rPr>
          <w:bCs/>
          <w:iCs/>
          <w:sz w:val="24"/>
          <w:szCs w:val="24"/>
        </w:rPr>
      </w:pPr>
      <w:r w:rsidRPr="00DC2712">
        <w:rPr>
          <w:sz w:val="24"/>
          <w:szCs w:val="24"/>
        </w:rPr>
        <w:t xml:space="preserve">State planning policies requiring </w:t>
      </w:r>
      <w:r>
        <w:rPr>
          <w:sz w:val="24"/>
          <w:szCs w:val="24"/>
        </w:rPr>
        <w:t>TOD</w:t>
      </w:r>
      <w:r w:rsidRPr="00DC2712">
        <w:rPr>
          <w:sz w:val="24"/>
          <w:szCs w:val="24"/>
        </w:rPr>
        <w:t xml:space="preserve"> around </w:t>
      </w:r>
      <w:r>
        <w:rPr>
          <w:sz w:val="24"/>
          <w:szCs w:val="24"/>
        </w:rPr>
        <w:t xml:space="preserve">metropolitan </w:t>
      </w:r>
      <w:r w:rsidRPr="00DC2712">
        <w:rPr>
          <w:sz w:val="24"/>
          <w:szCs w:val="24"/>
        </w:rPr>
        <w:t xml:space="preserve">railway stations </w:t>
      </w:r>
      <w:r>
        <w:rPr>
          <w:sz w:val="24"/>
          <w:szCs w:val="24"/>
        </w:rPr>
        <w:t>are longstanding</w:t>
      </w:r>
      <w:r w:rsidRPr="00DC2712">
        <w:rPr>
          <w:sz w:val="24"/>
          <w:szCs w:val="24"/>
        </w:rPr>
        <w:t xml:space="preserve">. </w:t>
      </w:r>
      <w:r>
        <w:rPr>
          <w:sz w:val="24"/>
          <w:szCs w:val="24"/>
        </w:rPr>
        <w:t>In 1988</w:t>
      </w:r>
      <w:r w:rsidRPr="00DC2712">
        <w:rPr>
          <w:sz w:val="24"/>
          <w:szCs w:val="24"/>
        </w:rPr>
        <w:t xml:space="preserve"> the State Planning agency began explicitly to direct land use decisions around railway station precincts</w:t>
      </w:r>
      <w:r>
        <w:rPr>
          <w:sz w:val="24"/>
          <w:szCs w:val="24"/>
        </w:rPr>
        <w:t xml:space="preserve">.  This town planning action coincided with a series of major transport infrastructure changes which began in the 1980s and have continued over the period since then. </w:t>
      </w:r>
      <w:r w:rsidR="00C2536C">
        <w:rPr>
          <w:bCs/>
          <w:iCs/>
          <w:sz w:val="24"/>
          <w:szCs w:val="24"/>
        </w:rPr>
        <w:lastRenderedPageBreak/>
        <w:t>T</w:t>
      </w:r>
      <w:r w:rsidR="001170F8">
        <w:rPr>
          <w:bCs/>
          <w:iCs/>
          <w:sz w:val="24"/>
          <w:szCs w:val="24"/>
        </w:rPr>
        <w:t>hree</w:t>
      </w:r>
      <w:r w:rsidR="00A33BAD">
        <w:rPr>
          <w:bCs/>
          <w:iCs/>
          <w:sz w:val="24"/>
          <w:szCs w:val="24"/>
        </w:rPr>
        <w:t xml:space="preserve"> key ingredients i</w:t>
      </w:r>
      <w:r w:rsidR="001170F8">
        <w:rPr>
          <w:bCs/>
          <w:iCs/>
          <w:sz w:val="24"/>
          <w:szCs w:val="24"/>
        </w:rPr>
        <w:t>n the TOD strategy are in place</w:t>
      </w:r>
      <w:r w:rsidR="000A1ED1">
        <w:rPr>
          <w:bCs/>
          <w:iCs/>
          <w:sz w:val="24"/>
          <w:szCs w:val="24"/>
        </w:rPr>
        <w:t>:</w:t>
      </w:r>
      <w:r w:rsidR="00DD5155">
        <w:rPr>
          <w:bCs/>
          <w:iCs/>
          <w:sz w:val="24"/>
          <w:szCs w:val="24"/>
        </w:rPr>
        <w:t xml:space="preserve"> </w:t>
      </w:r>
      <w:r w:rsidR="001170F8">
        <w:rPr>
          <w:bCs/>
          <w:iCs/>
          <w:sz w:val="24"/>
          <w:szCs w:val="24"/>
        </w:rPr>
        <w:t xml:space="preserve">the public transport network; the public transport service; </w:t>
      </w:r>
      <w:r w:rsidR="00530C9D">
        <w:rPr>
          <w:bCs/>
          <w:iCs/>
          <w:sz w:val="24"/>
          <w:szCs w:val="24"/>
        </w:rPr>
        <w:t xml:space="preserve">and </w:t>
      </w:r>
      <w:r w:rsidR="001170F8">
        <w:rPr>
          <w:bCs/>
          <w:iCs/>
          <w:sz w:val="24"/>
          <w:szCs w:val="24"/>
        </w:rPr>
        <w:t>the strategic planning policy for TOD</w:t>
      </w:r>
      <w:r w:rsidR="000A1ED1">
        <w:rPr>
          <w:bCs/>
          <w:iCs/>
          <w:sz w:val="24"/>
          <w:szCs w:val="24"/>
        </w:rPr>
        <w:t xml:space="preserve"> (Table 1)</w:t>
      </w:r>
      <w:r w:rsidR="001170F8">
        <w:rPr>
          <w:bCs/>
          <w:iCs/>
          <w:sz w:val="24"/>
          <w:szCs w:val="24"/>
        </w:rPr>
        <w:t>.</w:t>
      </w:r>
      <w:r w:rsidR="00A33BAD">
        <w:rPr>
          <w:bCs/>
          <w:iCs/>
          <w:sz w:val="24"/>
          <w:szCs w:val="24"/>
        </w:rPr>
        <w:t xml:space="preserve"> </w:t>
      </w:r>
    </w:p>
    <w:p w:rsidR="00C63DB9" w:rsidRDefault="00C63DB9" w:rsidP="008C3BED">
      <w:pPr>
        <w:jc w:val="both"/>
        <w:rPr>
          <w:b/>
          <w:bCs/>
          <w:iCs/>
          <w:sz w:val="24"/>
          <w:szCs w:val="24"/>
        </w:rPr>
      </w:pPr>
    </w:p>
    <w:p w:rsidR="002B23B8" w:rsidRDefault="002B23B8" w:rsidP="008C3BED">
      <w:pPr>
        <w:jc w:val="both"/>
        <w:rPr>
          <w:b/>
          <w:bCs/>
          <w:iCs/>
          <w:sz w:val="24"/>
          <w:szCs w:val="24"/>
        </w:rPr>
      </w:pPr>
      <w:r>
        <w:rPr>
          <w:b/>
          <w:bCs/>
          <w:iCs/>
          <w:sz w:val="24"/>
          <w:szCs w:val="24"/>
        </w:rPr>
        <w:t>Table 1: The Perth TOD elements</w:t>
      </w:r>
    </w:p>
    <w:tbl>
      <w:tblPr>
        <w:tblStyle w:val="TableGrid"/>
        <w:tblW w:w="0" w:type="auto"/>
        <w:tblLook w:val="04A0" w:firstRow="1" w:lastRow="0" w:firstColumn="1" w:lastColumn="0" w:noHBand="0" w:noVBand="1"/>
      </w:tblPr>
      <w:tblGrid>
        <w:gridCol w:w="1809"/>
        <w:gridCol w:w="7230"/>
        <w:gridCol w:w="1417"/>
      </w:tblGrid>
      <w:tr w:rsidR="00DD5155" w:rsidRPr="009D0860" w:rsidTr="00C63DB9">
        <w:tc>
          <w:tcPr>
            <w:tcW w:w="1809" w:type="dxa"/>
          </w:tcPr>
          <w:p w:rsidR="00DD5155" w:rsidRPr="009D0860" w:rsidRDefault="00DD5155" w:rsidP="00FA5255">
            <w:pPr>
              <w:rPr>
                <w:b/>
              </w:rPr>
            </w:pPr>
            <w:r w:rsidRPr="009D0860">
              <w:rPr>
                <w:b/>
              </w:rPr>
              <w:t>TOD Element</w:t>
            </w:r>
          </w:p>
        </w:tc>
        <w:tc>
          <w:tcPr>
            <w:tcW w:w="7230" w:type="dxa"/>
          </w:tcPr>
          <w:p w:rsidR="00DD5155" w:rsidRPr="009D0860" w:rsidRDefault="00DD5155" w:rsidP="00FA5255">
            <w:pPr>
              <w:rPr>
                <w:b/>
              </w:rPr>
            </w:pPr>
            <w:r w:rsidRPr="009D0860">
              <w:rPr>
                <w:b/>
              </w:rPr>
              <w:t>Action</w:t>
            </w:r>
          </w:p>
        </w:tc>
        <w:tc>
          <w:tcPr>
            <w:tcW w:w="1417" w:type="dxa"/>
          </w:tcPr>
          <w:p w:rsidR="00DD5155" w:rsidRPr="009D0860" w:rsidRDefault="00DD5155" w:rsidP="00FA5255">
            <w:pPr>
              <w:rPr>
                <w:b/>
              </w:rPr>
            </w:pPr>
            <w:r>
              <w:rPr>
                <w:b/>
              </w:rPr>
              <w:t>Timescale</w:t>
            </w:r>
          </w:p>
        </w:tc>
      </w:tr>
      <w:tr w:rsidR="00DD5155" w:rsidRPr="009D0860" w:rsidTr="00C63DB9">
        <w:tc>
          <w:tcPr>
            <w:tcW w:w="1809" w:type="dxa"/>
          </w:tcPr>
          <w:p w:rsidR="00DD5155" w:rsidRPr="009D0860" w:rsidRDefault="00DD5155" w:rsidP="00FA5255">
            <w:r w:rsidRPr="009D0860">
              <w:rPr>
                <w:bCs/>
                <w:iCs/>
              </w:rPr>
              <w:t xml:space="preserve">1. </w:t>
            </w:r>
            <w:r>
              <w:rPr>
                <w:bCs/>
                <w:iCs/>
              </w:rPr>
              <w:t>P</w:t>
            </w:r>
            <w:r w:rsidRPr="009D0860">
              <w:rPr>
                <w:bCs/>
                <w:iCs/>
              </w:rPr>
              <w:t>ublic transport network</w:t>
            </w:r>
          </w:p>
        </w:tc>
        <w:tc>
          <w:tcPr>
            <w:tcW w:w="7230" w:type="dxa"/>
          </w:tcPr>
          <w:p w:rsidR="00DD5155" w:rsidRDefault="00DD5155" w:rsidP="00FA5255">
            <w:r>
              <w:t>Steady investment in public transport:</w:t>
            </w:r>
          </w:p>
          <w:p w:rsidR="00DD5155" w:rsidRDefault="00DD5155" w:rsidP="00FA5255">
            <w:r>
              <w:t xml:space="preserve">a) </w:t>
            </w:r>
            <w:r w:rsidRPr="009D0860">
              <w:t>existing railway lines electrified</w:t>
            </w:r>
            <w:r>
              <w:t xml:space="preserve"> </w:t>
            </w:r>
          </w:p>
          <w:p w:rsidR="00DD5155" w:rsidRDefault="00DD5155" w:rsidP="00FA5255">
            <w:r>
              <w:t xml:space="preserve">b) </w:t>
            </w:r>
            <w:r w:rsidRPr="009D0860">
              <w:t xml:space="preserve">new railway line </w:t>
            </w:r>
            <w:r>
              <w:t>-</w:t>
            </w:r>
            <w:r w:rsidRPr="009D0860">
              <w:t xml:space="preserve"> northern suburbs</w:t>
            </w:r>
          </w:p>
          <w:p w:rsidR="00DD5155" w:rsidRPr="009D0860" w:rsidRDefault="00DD5155" w:rsidP="00FA5255">
            <w:pPr>
              <w:rPr>
                <w:vertAlign w:val="superscript"/>
              </w:rPr>
            </w:pPr>
            <w:r>
              <w:t xml:space="preserve">c) </w:t>
            </w:r>
            <w:r w:rsidRPr="009D0860">
              <w:t>new orbital bus route linking ‘middle ring suburbs’</w:t>
            </w:r>
            <w:r>
              <w:t xml:space="preserve">&amp; </w:t>
            </w:r>
            <w:r w:rsidRPr="009D0860">
              <w:t xml:space="preserve"> railway lines</w:t>
            </w:r>
            <w:r>
              <w:rPr>
                <w:vertAlign w:val="superscript"/>
              </w:rPr>
              <w:t>1</w:t>
            </w:r>
          </w:p>
          <w:p w:rsidR="00DD5155" w:rsidRDefault="00DD5155" w:rsidP="00FA5255">
            <w:r>
              <w:t>d) northern suburbs rail extended</w:t>
            </w:r>
          </w:p>
          <w:p w:rsidR="00DD5155" w:rsidRDefault="00DD5155" w:rsidP="00FA5255">
            <w:r>
              <w:t>e) new branch line added to eastern suburbs</w:t>
            </w:r>
          </w:p>
          <w:p w:rsidR="00DD5155" w:rsidRDefault="00DD5155" w:rsidP="00FA5255">
            <w:r>
              <w:t xml:space="preserve">f) </w:t>
            </w:r>
            <w:r w:rsidRPr="009D0860">
              <w:t xml:space="preserve">new railway line </w:t>
            </w:r>
            <w:r>
              <w:t>–</w:t>
            </w:r>
            <w:r w:rsidRPr="009D0860">
              <w:t xml:space="preserve"> </w:t>
            </w:r>
            <w:r>
              <w:t>south-western</w:t>
            </w:r>
            <w:r w:rsidRPr="009D0860">
              <w:t xml:space="preserve"> suburbs</w:t>
            </w:r>
          </w:p>
          <w:p w:rsidR="00DD5155" w:rsidRPr="009D0860" w:rsidRDefault="00DD5155" w:rsidP="00FA5255"/>
        </w:tc>
        <w:tc>
          <w:tcPr>
            <w:tcW w:w="1417" w:type="dxa"/>
          </w:tcPr>
          <w:p w:rsidR="00DD5155" w:rsidRDefault="00DD5155" w:rsidP="00FA5255"/>
          <w:p w:rsidR="00DD5155" w:rsidRDefault="00DD5155" w:rsidP="00FA5255">
            <w:r>
              <w:t>1980s</w:t>
            </w:r>
          </w:p>
          <w:p w:rsidR="00DD5155" w:rsidRDefault="00DD5155" w:rsidP="00FA5255">
            <w:r>
              <w:t>1990s</w:t>
            </w:r>
          </w:p>
          <w:p w:rsidR="00DD5155" w:rsidRDefault="00DD5155" w:rsidP="00FA5255"/>
          <w:p w:rsidR="00DD5155" w:rsidRDefault="00DD5155" w:rsidP="00FA5255">
            <w:r>
              <w:t>1990s</w:t>
            </w:r>
          </w:p>
          <w:p w:rsidR="00DD5155" w:rsidRDefault="00DD5155" w:rsidP="00FA5255">
            <w:r>
              <w:t>2000s</w:t>
            </w:r>
          </w:p>
          <w:p w:rsidR="00DD5155" w:rsidRDefault="00DD5155" w:rsidP="00FA5255">
            <w:r>
              <w:t>2000s</w:t>
            </w:r>
          </w:p>
          <w:p w:rsidR="00DD5155" w:rsidRDefault="00DD5155" w:rsidP="00FA5255">
            <w:r>
              <w:t>2000s</w:t>
            </w:r>
          </w:p>
          <w:p w:rsidR="00DD5155" w:rsidRPr="009D0860" w:rsidRDefault="00DD5155" w:rsidP="00FA5255"/>
        </w:tc>
      </w:tr>
      <w:tr w:rsidR="00DD5155" w:rsidRPr="009D0860" w:rsidTr="00C63DB9">
        <w:tc>
          <w:tcPr>
            <w:tcW w:w="1809" w:type="dxa"/>
          </w:tcPr>
          <w:p w:rsidR="00DD5155" w:rsidRPr="009D0860" w:rsidRDefault="00DD5155" w:rsidP="00FA5255">
            <w:r w:rsidRPr="009D0860">
              <w:t xml:space="preserve">2. </w:t>
            </w:r>
            <w:r>
              <w:rPr>
                <w:bCs/>
                <w:iCs/>
              </w:rPr>
              <w:t>P</w:t>
            </w:r>
            <w:r w:rsidRPr="009D0860">
              <w:rPr>
                <w:bCs/>
                <w:iCs/>
              </w:rPr>
              <w:t>ublic transport service</w:t>
            </w:r>
          </w:p>
        </w:tc>
        <w:tc>
          <w:tcPr>
            <w:tcW w:w="7230" w:type="dxa"/>
          </w:tcPr>
          <w:p w:rsidR="00DD5155" w:rsidRPr="00AB6E69" w:rsidRDefault="00DD5155" w:rsidP="00FA5255">
            <w:pPr>
              <w:rPr>
                <w:vertAlign w:val="superscript"/>
              </w:rPr>
            </w:pPr>
            <w:r>
              <w:t xml:space="preserve">a) introduction of </w:t>
            </w:r>
            <w:r w:rsidRPr="009D0860">
              <w:t>higher service frequency</w:t>
            </w:r>
            <w:r>
              <w:rPr>
                <w:vertAlign w:val="superscript"/>
              </w:rPr>
              <w:t>1</w:t>
            </w:r>
          </w:p>
          <w:p w:rsidR="00DD5155" w:rsidRPr="00AB6E69" w:rsidRDefault="00DD5155" w:rsidP="00FA5255">
            <w:pPr>
              <w:rPr>
                <w:vertAlign w:val="superscript"/>
              </w:rPr>
            </w:pPr>
            <w:r>
              <w:t xml:space="preserve">b) </w:t>
            </w:r>
            <w:r w:rsidRPr="009D0860">
              <w:t xml:space="preserve">integration between bus and rail </w:t>
            </w:r>
            <w:r>
              <w:t>to reduce</w:t>
            </w:r>
            <w:r w:rsidRPr="009D0860">
              <w:t xml:space="preserve"> transfer times</w:t>
            </w:r>
            <w:r>
              <w:rPr>
                <w:vertAlign w:val="superscript"/>
              </w:rPr>
              <w:t>1</w:t>
            </w:r>
          </w:p>
        </w:tc>
        <w:tc>
          <w:tcPr>
            <w:tcW w:w="1417" w:type="dxa"/>
          </w:tcPr>
          <w:p w:rsidR="00DD5155" w:rsidRDefault="00DD5155" w:rsidP="00FA5255">
            <w:r>
              <w:t>1990s</w:t>
            </w:r>
          </w:p>
          <w:p w:rsidR="00DD5155" w:rsidRPr="009D0860" w:rsidRDefault="00DD5155" w:rsidP="00FA5255">
            <w:r>
              <w:t>1990s</w:t>
            </w:r>
          </w:p>
        </w:tc>
      </w:tr>
      <w:tr w:rsidR="00DD5155" w:rsidRPr="009D0860" w:rsidTr="00C63DB9">
        <w:tc>
          <w:tcPr>
            <w:tcW w:w="1809" w:type="dxa"/>
          </w:tcPr>
          <w:p w:rsidR="00DD5155" w:rsidRPr="009D0860" w:rsidRDefault="00DD5155" w:rsidP="00FA5255">
            <w:r>
              <w:t>3. S</w:t>
            </w:r>
            <w:r w:rsidRPr="009D0860">
              <w:t xml:space="preserve">trategic </w:t>
            </w:r>
            <w:r>
              <w:t xml:space="preserve">land use </w:t>
            </w:r>
            <w:r w:rsidRPr="009D0860">
              <w:t xml:space="preserve">policy </w:t>
            </w:r>
          </w:p>
        </w:tc>
        <w:tc>
          <w:tcPr>
            <w:tcW w:w="7230" w:type="dxa"/>
          </w:tcPr>
          <w:p w:rsidR="00DD5155" w:rsidRDefault="00DD5155" w:rsidP="00FA5255">
            <w:r>
              <w:t>S</w:t>
            </w:r>
            <w:r w:rsidRPr="00AB6E69">
              <w:t>tate-led planning policy requiring TOD</w:t>
            </w:r>
            <w:r>
              <w:t>:</w:t>
            </w:r>
          </w:p>
          <w:p w:rsidR="00DD5155" w:rsidRDefault="00DD5155" w:rsidP="00FA5255"/>
          <w:p w:rsidR="00DD5155" w:rsidRDefault="00DD5155" w:rsidP="00FA5255">
            <w:pPr>
              <w:rPr>
                <w:i/>
              </w:rPr>
            </w:pPr>
            <w:r>
              <w:t xml:space="preserve">a) </w:t>
            </w:r>
            <w:r w:rsidRPr="00AB6E69">
              <w:rPr>
                <w:i/>
              </w:rPr>
              <w:t>Development Control Policy 1.6 Residential Development near Metropolitan Railway Stations</w:t>
            </w:r>
            <w:r>
              <w:rPr>
                <w:i/>
                <w:vertAlign w:val="superscript"/>
              </w:rPr>
              <w:t>2</w:t>
            </w:r>
            <w:r>
              <w:rPr>
                <w:i/>
              </w:rPr>
              <w:t xml:space="preserve"> – </w:t>
            </w:r>
          </w:p>
          <w:p w:rsidR="00DD5155" w:rsidRDefault="00DD5155" w:rsidP="00FA5255">
            <w:r>
              <w:t xml:space="preserve">- </w:t>
            </w:r>
            <w:r w:rsidRPr="00AB6E69">
              <w:t xml:space="preserve">policy stipulated minimum densities of ‘R40’ </w:t>
            </w:r>
            <w:r>
              <w:t>(</w:t>
            </w:r>
            <w:r w:rsidRPr="00AB6E69">
              <w:t>translates to a density of about 35 dwellings gross per hectare</w:t>
            </w:r>
            <w:r>
              <w:t>)</w:t>
            </w:r>
          </w:p>
          <w:p w:rsidR="00DD5155" w:rsidRDefault="00DD5155" w:rsidP="00FA5255"/>
          <w:p w:rsidR="00DD5155" w:rsidRDefault="00DD5155" w:rsidP="00FA5255">
            <w:pPr>
              <w:jc w:val="center"/>
              <w:rPr>
                <w:i/>
              </w:rPr>
            </w:pPr>
            <w:r>
              <w:rPr>
                <w:i/>
              </w:rPr>
              <w:t xml:space="preserve">superseded by </w:t>
            </w:r>
          </w:p>
          <w:p w:rsidR="00DD5155" w:rsidRPr="00AB6E69" w:rsidRDefault="00DD5155" w:rsidP="00FA5255">
            <w:pPr>
              <w:jc w:val="center"/>
              <w:rPr>
                <w:i/>
              </w:rPr>
            </w:pPr>
          </w:p>
          <w:p w:rsidR="00DD5155" w:rsidRDefault="00DD5155" w:rsidP="00FA5255">
            <w:pPr>
              <w:rPr>
                <w:i/>
              </w:rPr>
            </w:pPr>
            <w:r>
              <w:t xml:space="preserve">b) </w:t>
            </w:r>
            <w:r w:rsidRPr="00AB6E69">
              <w:rPr>
                <w:i/>
              </w:rPr>
              <w:t>Development Control Policy 1.6 Planning to Enhance Public Transport Use</w:t>
            </w:r>
            <w:r>
              <w:rPr>
                <w:i/>
                <w:vertAlign w:val="superscript"/>
              </w:rPr>
              <w:t>3</w:t>
            </w:r>
            <w:r>
              <w:rPr>
                <w:i/>
              </w:rPr>
              <w:t xml:space="preserve"> – </w:t>
            </w:r>
          </w:p>
          <w:p w:rsidR="00DD5155" w:rsidRDefault="00DD5155" w:rsidP="00FA5255">
            <w:r>
              <w:t xml:space="preserve">- </w:t>
            </w:r>
            <w:r w:rsidRPr="00AB6E69">
              <w:t xml:space="preserve">‘medium to high density’ </w:t>
            </w:r>
            <w:r w:rsidR="004B06E3">
              <w:t>remains</w:t>
            </w:r>
            <w:r w:rsidRPr="00AB6E69">
              <w:t xml:space="preserve"> but the actual density was no longer numerically stipulated</w:t>
            </w:r>
            <w:r>
              <w:t>,</w:t>
            </w:r>
          </w:p>
          <w:p w:rsidR="00DD5155" w:rsidRDefault="00DD5155" w:rsidP="00FA5255">
            <w:pPr>
              <w:rPr>
                <w:i/>
              </w:rPr>
            </w:pPr>
            <w:r>
              <w:t xml:space="preserve">- </w:t>
            </w:r>
            <w:r w:rsidRPr="00AB6E69">
              <w:t>add</w:t>
            </w:r>
            <w:r>
              <w:t xml:space="preserve">ition of considerations for </w:t>
            </w:r>
            <w:r w:rsidRPr="00AB6E69">
              <w:t xml:space="preserve">bus routes within residential sub-divisions </w:t>
            </w:r>
            <w:r>
              <w:t>and</w:t>
            </w:r>
            <w:r w:rsidRPr="00AB6E69">
              <w:t xml:space="preserve"> </w:t>
            </w:r>
            <w:r>
              <w:t>need to o</w:t>
            </w:r>
            <w:r w:rsidRPr="00AB6E69">
              <w:t>ptimise land use around high frequency bus routes</w:t>
            </w:r>
          </w:p>
          <w:p w:rsidR="00DD5155" w:rsidRDefault="00DD5155" w:rsidP="00FA5255">
            <w:pPr>
              <w:jc w:val="center"/>
              <w:rPr>
                <w:i/>
              </w:rPr>
            </w:pPr>
            <w:r>
              <w:rPr>
                <w:i/>
              </w:rPr>
              <w:t xml:space="preserve">superseded by </w:t>
            </w:r>
          </w:p>
          <w:p w:rsidR="00DD5155" w:rsidRDefault="00DD5155" w:rsidP="00FA5255">
            <w:pPr>
              <w:jc w:val="center"/>
              <w:rPr>
                <w:i/>
              </w:rPr>
            </w:pPr>
          </w:p>
          <w:p w:rsidR="00DD5155" w:rsidRDefault="00DD5155" w:rsidP="00FA5255">
            <w:pPr>
              <w:rPr>
                <w:i/>
              </w:rPr>
            </w:pPr>
            <w:r>
              <w:t xml:space="preserve">c) </w:t>
            </w:r>
            <w:r w:rsidRPr="00AB6E69">
              <w:rPr>
                <w:i/>
              </w:rPr>
              <w:t>Development Control Policy 1.6 Planning to Support Transit Use and Transit Oriented Development</w:t>
            </w:r>
            <w:r w:rsidR="004B06E3">
              <w:rPr>
                <w:i/>
              </w:rPr>
              <w:t xml:space="preserve"> – </w:t>
            </w:r>
          </w:p>
          <w:p w:rsidR="00AB515A" w:rsidRDefault="00AB515A" w:rsidP="00FA5255">
            <w:r>
              <w:t xml:space="preserve">- </w:t>
            </w:r>
            <w:r w:rsidRPr="00AB515A">
              <w:t>“transit oriented precincts”</w:t>
            </w:r>
            <w:r>
              <w:t xml:space="preserve"> defined - </w:t>
            </w:r>
            <w:r w:rsidRPr="00AB515A">
              <w:t>800 m distance, for rail stations, transit interchanges or major bus transfer stations or terminals, and about 5-7 minutes walking time, or 400 m, for bus stops located on bus routes with multiple bus services that are high frequency of 15 minutes or less during peak periods’</w:t>
            </w:r>
          </w:p>
          <w:p w:rsidR="00DD5155" w:rsidRDefault="004B06E3" w:rsidP="00FA5255">
            <w:r>
              <w:t xml:space="preserve">- </w:t>
            </w:r>
            <w:r w:rsidRPr="004B06E3">
              <w:t>minimum density of 25 dwellings per hectare and the application of densities substantially higher than 25 dwellings per hectare</w:t>
            </w:r>
            <w:r>
              <w:t xml:space="preserve"> </w:t>
            </w:r>
            <w:r w:rsidRPr="004B06E3">
              <w:t>where sites have the advantage of close proximity to a rail station, major bus interchange or bus route that provides service frequencies equivalent to rail</w:t>
            </w:r>
          </w:p>
          <w:p w:rsidR="004B06E3" w:rsidRDefault="004B06E3" w:rsidP="00FA5255">
            <w:r>
              <w:t xml:space="preserve">- </w:t>
            </w:r>
            <w:r w:rsidRPr="004B06E3">
              <w:t>significant generators of transit trips should be located close to transit facilities</w:t>
            </w:r>
            <w:r>
              <w:t xml:space="preserve"> - including</w:t>
            </w:r>
            <w:r w:rsidRPr="004B06E3">
              <w:t xml:space="preserve"> office and other ‘high-density’ employment-generating activities, intensive leisure facilities and retailing</w:t>
            </w:r>
            <w:r>
              <w:t xml:space="preserve">, </w:t>
            </w:r>
            <w:r w:rsidRPr="004B06E3">
              <w:t>aged persons</w:t>
            </w:r>
            <w:r w:rsidR="00AB515A">
              <w:t xml:space="preserve"> </w:t>
            </w:r>
            <w:r w:rsidRPr="004B06E3">
              <w:t>development, schools and tertiary education uses, hospitals, community facilities and social services</w:t>
            </w:r>
          </w:p>
          <w:p w:rsidR="00DD5155" w:rsidRPr="009D0860" w:rsidRDefault="00DD5155" w:rsidP="00FA5255"/>
        </w:tc>
        <w:tc>
          <w:tcPr>
            <w:tcW w:w="1417" w:type="dxa"/>
          </w:tcPr>
          <w:p w:rsidR="00DD5155" w:rsidRDefault="00DD5155" w:rsidP="00FA5255"/>
          <w:p w:rsidR="00DD5155" w:rsidRDefault="00DD5155" w:rsidP="00FA5255"/>
          <w:p w:rsidR="00DD5155" w:rsidRDefault="00DD5155" w:rsidP="00FA5255">
            <w:r>
              <w:t>1988</w:t>
            </w:r>
          </w:p>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r>
              <w:t>1999</w:t>
            </w:r>
          </w:p>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Default="00DD5155" w:rsidP="00FA5255"/>
          <w:p w:rsidR="00DD5155" w:rsidRPr="00AB6E69" w:rsidRDefault="00DD5155" w:rsidP="00FA5255">
            <w:pPr>
              <w:rPr>
                <w:vertAlign w:val="superscript"/>
              </w:rPr>
            </w:pPr>
            <w:r>
              <w:t>2005</w:t>
            </w:r>
            <w:r>
              <w:rPr>
                <w:vertAlign w:val="superscript"/>
              </w:rPr>
              <w:t>4</w:t>
            </w:r>
          </w:p>
        </w:tc>
      </w:tr>
    </w:tbl>
    <w:p w:rsidR="00DD5155" w:rsidRPr="00AB6E69" w:rsidRDefault="00DD5155" w:rsidP="00DD5155">
      <w:pPr>
        <w:rPr>
          <w:vertAlign w:val="superscript"/>
        </w:rPr>
      </w:pPr>
      <w:r>
        <w:t xml:space="preserve">Sources: </w:t>
      </w:r>
      <w:r>
        <w:rPr>
          <w:vertAlign w:val="superscript"/>
        </w:rPr>
        <w:t xml:space="preserve">1 </w:t>
      </w:r>
      <w:r w:rsidRPr="009D0860">
        <w:t>Department of Transport, 1998</w:t>
      </w:r>
      <w:r>
        <w:t xml:space="preserve">; </w:t>
      </w:r>
      <w:r>
        <w:rPr>
          <w:vertAlign w:val="superscript"/>
        </w:rPr>
        <w:t>2</w:t>
      </w:r>
      <w:r w:rsidRPr="00AB6E69">
        <w:rPr>
          <w:sz w:val="24"/>
        </w:rPr>
        <w:t xml:space="preserve"> </w:t>
      </w:r>
      <w:r w:rsidRPr="00AB6E69">
        <w:t>WAPC, 1988</w:t>
      </w:r>
      <w:r>
        <w:t xml:space="preserve">; </w:t>
      </w:r>
      <w:r>
        <w:rPr>
          <w:vertAlign w:val="superscript"/>
        </w:rPr>
        <w:t xml:space="preserve">3 </w:t>
      </w:r>
      <w:r w:rsidRPr="00AB6E69">
        <w:t>WAPC, 1999</w:t>
      </w:r>
      <w:r>
        <w:t xml:space="preserve">; </w:t>
      </w:r>
      <w:r>
        <w:rPr>
          <w:vertAlign w:val="superscript"/>
        </w:rPr>
        <w:t xml:space="preserve">4 </w:t>
      </w:r>
      <w:r w:rsidRPr="00AB6E69">
        <w:t>WAPC, 2005</w:t>
      </w:r>
      <w:r>
        <w:t>.</w:t>
      </w:r>
    </w:p>
    <w:p w:rsidR="00AB515A" w:rsidRPr="00DC2712" w:rsidRDefault="00AB515A" w:rsidP="00AB515A">
      <w:pPr>
        <w:jc w:val="both"/>
        <w:rPr>
          <w:sz w:val="24"/>
          <w:szCs w:val="24"/>
        </w:rPr>
      </w:pPr>
      <w:r>
        <w:rPr>
          <w:sz w:val="24"/>
          <w:szCs w:val="24"/>
        </w:rPr>
        <w:t>I</w:t>
      </w:r>
      <w:r w:rsidR="004B06E3" w:rsidRPr="00DC2712">
        <w:rPr>
          <w:sz w:val="24"/>
          <w:szCs w:val="24"/>
        </w:rPr>
        <w:t xml:space="preserve">t is evident that there is and has been a strong </w:t>
      </w:r>
      <w:r w:rsidR="004B06E3">
        <w:rPr>
          <w:sz w:val="24"/>
          <w:szCs w:val="24"/>
        </w:rPr>
        <w:t xml:space="preserve">suite </w:t>
      </w:r>
      <w:r w:rsidR="004B06E3" w:rsidRPr="00DC2712">
        <w:rPr>
          <w:sz w:val="24"/>
          <w:szCs w:val="24"/>
        </w:rPr>
        <w:t xml:space="preserve">of </w:t>
      </w:r>
      <w:r w:rsidR="004B06E3">
        <w:rPr>
          <w:sz w:val="24"/>
          <w:szCs w:val="24"/>
        </w:rPr>
        <w:t xml:space="preserve">state government </w:t>
      </w:r>
      <w:r w:rsidR="004B06E3" w:rsidRPr="00DC2712">
        <w:rPr>
          <w:sz w:val="24"/>
          <w:szCs w:val="24"/>
        </w:rPr>
        <w:t xml:space="preserve">policies demonstrating clear intent for development around the metropolitan railway stations. This is not only found in the specific development control policy but also reinforced by reference to a wide range of other </w:t>
      </w:r>
      <w:r>
        <w:rPr>
          <w:sz w:val="24"/>
          <w:szCs w:val="24"/>
        </w:rPr>
        <w:t xml:space="preserve">State </w:t>
      </w:r>
      <w:r w:rsidR="004B06E3" w:rsidRPr="00DC2712">
        <w:rPr>
          <w:sz w:val="24"/>
          <w:szCs w:val="24"/>
        </w:rPr>
        <w:t>policy documents</w:t>
      </w:r>
      <w:r w:rsidR="00E81B43">
        <w:rPr>
          <w:rStyle w:val="FootnoteReference"/>
          <w:sz w:val="24"/>
          <w:szCs w:val="24"/>
        </w:rPr>
        <w:footnoteReference w:id="1"/>
      </w:r>
      <w:r w:rsidR="00E81B43">
        <w:rPr>
          <w:sz w:val="24"/>
          <w:szCs w:val="24"/>
        </w:rPr>
        <w:t xml:space="preserve"> which </w:t>
      </w:r>
      <w:r w:rsidRPr="00DC2712">
        <w:rPr>
          <w:sz w:val="24"/>
          <w:szCs w:val="24"/>
        </w:rPr>
        <w:t xml:space="preserve">focused on a sustainable future.  The development control policy </w:t>
      </w:r>
      <w:r w:rsidRPr="00DC2712">
        <w:rPr>
          <w:sz w:val="24"/>
          <w:szCs w:val="24"/>
        </w:rPr>
        <w:lastRenderedPageBreak/>
        <w:t xml:space="preserve">provides a means to articulate these higher order strategies into action through control of development. </w:t>
      </w:r>
    </w:p>
    <w:p w:rsidR="00AB515A" w:rsidRDefault="00AB515A" w:rsidP="004B06E3">
      <w:pPr>
        <w:jc w:val="both"/>
        <w:rPr>
          <w:sz w:val="24"/>
          <w:szCs w:val="24"/>
        </w:rPr>
      </w:pPr>
      <w:r w:rsidRPr="00DC2712">
        <w:rPr>
          <w:b/>
          <w:i/>
          <w:sz w:val="24"/>
          <w:szCs w:val="24"/>
        </w:rPr>
        <w:t>Implementation mechanisms</w:t>
      </w:r>
    </w:p>
    <w:p w:rsidR="00C2636D" w:rsidRDefault="00AB515A" w:rsidP="002F0B81">
      <w:pPr>
        <w:jc w:val="both"/>
        <w:rPr>
          <w:sz w:val="24"/>
          <w:szCs w:val="24"/>
        </w:rPr>
      </w:pPr>
      <w:r>
        <w:rPr>
          <w:sz w:val="24"/>
          <w:szCs w:val="24"/>
        </w:rPr>
        <w:t>T</w:t>
      </w:r>
      <w:r w:rsidR="004B06E3" w:rsidRPr="00DC2712">
        <w:rPr>
          <w:sz w:val="24"/>
          <w:szCs w:val="24"/>
        </w:rPr>
        <w:t>h</w:t>
      </w:r>
      <w:r>
        <w:rPr>
          <w:sz w:val="24"/>
          <w:szCs w:val="24"/>
        </w:rPr>
        <w:t>e state planning agency expects</w:t>
      </w:r>
      <w:r w:rsidR="004B06E3" w:rsidRPr="00DC2712">
        <w:rPr>
          <w:sz w:val="24"/>
          <w:szCs w:val="24"/>
        </w:rPr>
        <w:t xml:space="preserve"> implementation of the </w:t>
      </w:r>
      <w:r>
        <w:rPr>
          <w:sz w:val="24"/>
          <w:szCs w:val="24"/>
        </w:rPr>
        <w:t xml:space="preserve">TOD </w:t>
      </w:r>
      <w:r w:rsidR="004B06E3" w:rsidRPr="00DC2712">
        <w:rPr>
          <w:sz w:val="24"/>
          <w:szCs w:val="24"/>
        </w:rPr>
        <w:t>policy to be achieved by requiring local government</w:t>
      </w:r>
      <w:r w:rsidR="004B06E3">
        <w:rPr>
          <w:sz w:val="24"/>
          <w:szCs w:val="24"/>
        </w:rPr>
        <w:t>s</w:t>
      </w:r>
      <w:r w:rsidR="004B06E3" w:rsidRPr="00DC2712">
        <w:rPr>
          <w:sz w:val="24"/>
          <w:szCs w:val="24"/>
        </w:rPr>
        <w:t xml:space="preserve"> to provide for such opportunities within </w:t>
      </w:r>
      <w:r w:rsidR="004B06E3">
        <w:rPr>
          <w:sz w:val="24"/>
          <w:szCs w:val="24"/>
        </w:rPr>
        <w:t xml:space="preserve">their </w:t>
      </w:r>
      <w:r w:rsidR="00C2636D">
        <w:rPr>
          <w:sz w:val="24"/>
          <w:szCs w:val="24"/>
        </w:rPr>
        <w:t>Town Planning Schemes (</w:t>
      </w:r>
      <w:r>
        <w:rPr>
          <w:sz w:val="24"/>
          <w:szCs w:val="24"/>
        </w:rPr>
        <w:t>TPS</w:t>
      </w:r>
      <w:r w:rsidR="00C2636D">
        <w:rPr>
          <w:sz w:val="24"/>
          <w:szCs w:val="24"/>
        </w:rPr>
        <w:t>)</w:t>
      </w:r>
      <w:r>
        <w:rPr>
          <w:sz w:val="24"/>
          <w:szCs w:val="24"/>
        </w:rPr>
        <w:t>.  This expectation i</w:t>
      </w:r>
      <w:r w:rsidR="004B06E3" w:rsidRPr="00DC2712">
        <w:rPr>
          <w:sz w:val="24"/>
          <w:szCs w:val="24"/>
        </w:rPr>
        <w:t>s one of ‘conformance’</w:t>
      </w:r>
      <w:r>
        <w:rPr>
          <w:sz w:val="24"/>
          <w:szCs w:val="24"/>
        </w:rPr>
        <w:t>. T</w:t>
      </w:r>
      <w:r w:rsidR="004B06E3" w:rsidRPr="00DC2712">
        <w:rPr>
          <w:sz w:val="24"/>
          <w:szCs w:val="24"/>
        </w:rPr>
        <w:t xml:space="preserve">he state planning agency </w:t>
      </w:r>
      <w:r>
        <w:rPr>
          <w:sz w:val="24"/>
          <w:szCs w:val="24"/>
        </w:rPr>
        <w:t xml:space="preserve">is </w:t>
      </w:r>
      <w:r w:rsidR="004B06E3" w:rsidRPr="00DC2712">
        <w:rPr>
          <w:sz w:val="24"/>
          <w:szCs w:val="24"/>
        </w:rPr>
        <w:t>able to exercise control given its authority to recommend a</w:t>
      </w:r>
      <w:r w:rsidR="004B06E3">
        <w:rPr>
          <w:sz w:val="24"/>
          <w:szCs w:val="24"/>
        </w:rPr>
        <w:t xml:space="preserve">pproval of </w:t>
      </w:r>
      <w:r w:rsidR="00C2636D">
        <w:rPr>
          <w:sz w:val="24"/>
          <w:szCs w:val="24"/>
        </w:rPr>
        <w:t xml:space="preserve">the </w:t>
      </w:r>
      <w:r>
        <w:rPr>
          <w:sz w:val="24"/>
          <w:szCs w:val="24"/>
        </w:rPr>
        <w:t>TPS</w:t>
      </w:r>
      <w:r w:rsidR="004B06E3">
        <w:rPr>
          <w:sz w:val="24"/>
          <w:szCs w:val="24"/>
        </w:rPr>
        <w:t xml:space="preserve"> to the State Minister for P</w:t>
      </w:r>
      <w:r w:rsidR="004B06E3" w:rsidRPr="00DC2712">
        <w:rPr>
          <w:sz w:val="24"/>
          <w:szCs w:val="24"/>
        </w:rPr>
        <w:t>lanning.</w:t>
      </w:r>
      <w:r>
        <w:rPr>
          <w:sz w:val="24"/>
          <w:szCs w:val="24"/>
        </w:rPr>
        <w:t xml:space="preserve"> </w:t>
      </w:r>
      <w:r w:rsidR="00DC2712" w:rsidRPr="00DC2712">
        <w:rPr>
          <w:sz w:val="24"/>
          <w:szCs w:val="24"/>
        </w:rPr>
        <w:t xml:space="preserve">The mechanisms of state policy implementation are as follows. State planning legislation requires each local government to produce a statutory TPS for its entire area. The content of the TPS is dictated by a State planning agency guide, the Model Scheme Text (Government of Western Australia, 1999). TPS’s include a set of policies that will be used to determine applications for planning permission and building approval.  In addition a land use zoning map and accompanying zoning table set out the type of land use and its residential density in specified locations.  The TPS is required to conform to state planning policy, and is checked for compliance and consistency by this state agency and finally signed off by the State Minister for Planning.  A further mechanism for implementation is provided through the decision process for sub-division of land.  In this case it is the State planning agency that assesses sub-division applications which are then determined by the </w:t>
      </w:r>
      <w:r w:rsidR="00C2636D">
        <w:rPr>
          <w:sz w:val="24"/>
          <w:szCs w:val="24"/>
        </w:rPr>
        <w:t>Western Australian Planning Commission</w:t>
      </w:r>
      <w:r w:rsidR="00DC2712" w:rsidRPr="00DC2712">
        <w:rPr>
          <w:sz w:val="24"/>
          <w:szCs w:val="24"/>
        </w:rPr>
        <w:t xml:space="preserve"> and Minister.  This structure provides strong vertical linkages for policy articulation and </w:t>
      </w:r>
      <w:r w:rsidR="00C2636D">
        <w:rPr>
          <w:sz w:val="24"/>
          <w:szCs w:val="24"/>
        </w:rPr>
        <w:t xml:space="preserve">decisions. </w:t>
      </w:r>
    </w:p>
    <w:p w:rsidR="00DC2712" w:rsidRDefault="002F0B81" w:rsidP="00DC2712">
      <w:pPr>
        <w:jc w:val="both"/>
        <w:rPr>
          <w:sz w:val="24"/>
          <w:szCs w:val="24"/>
        </w:rPr>
      </w:pPr>
      <w:r w:rsidRPr="002F0B81">
        <w:rPr>
          <w:sz w:val="24"/>
          <w:szCs w:val="24"/>
        </w:rPr>
        <w:t>In addition to the State’s strong control over all local government’s TPS and subdivision of land, it can influence the nature of development through its own land development agency</w:t>
      </w:r>
      <w:r w:rsidR="00C2636D">
        <w:rPr>
          <w:sz w:val="24"/>
          <w:szCs w:val="24"/>
        </w:rPr>
        <w:t>,</w:t>
      </w:r>
      <w:r w:rsidRPr="002F0B81">
        <w:rPr>
          <w:sz w:val="24"/>
          <w:szCs w:val="24"/>
        </w:rPr>
        <w:t xml:space="preserve"> LandCorp</w:t>
      </w:r>
      <w:r w:rsidR="00C2636D">
        <w:rPr>
          <w:sz w:val="24"/>
          <w:szCs w:val="24"/>
        </w:rPr>
        <w:t>,</w:t>
      </w:r>
      <w:r w:rsidRPr="002F0B81">
        <w:rPr>
          <w:sz w:val="24"/>
          <w:szCs w:val="24"/>
        </w:rPr>
        <w:t xml:space="preserve"> and the Department of Housing and Works (responsible for public housing).  Further provision to facilitate development takes the form of area specific Redevelopment Agencies (RDAs).</w:t>
      </w:r>
      <w:r w:rsidR="00C2636D">
        <w:rPr>
          <w:sz w:val="24"/>
          <w:szCs w:val="24"/>
        </w:rPr>
        <w:t xml:space="preserve"> </w:t>
      </w:r>
      <w:r w:rsidRPr="002F0B81">
        <w:rPr>
          <w:sz w:val="24"/>
          <w:szCs w:val="24"/>
        </w:rPr>
        <w:t>In 2001 the amalgamation of State transport and planning agencies into one super agency added a further capacity for the ability to integrate land use and transport. In 2001 after the election of the State Labor government the Department of Transport, the Ministry for Planning, and Main Roads Western Australia (MRWA)</w:t>
      </w:r>
      <w:r>
        <w:rPr>
          <w:sz w:val="24"/>
          <w:szCs w:val="24"/>
        </w:rPr>
        <w:t xml:space="preserve"> </w:t>
      </w:r>
      <w:r w:rsidRPr="002F0B81">
        <w:rPr>
          <w:sz w:val="24"/>
          <w:szCs w:val="24"/>
        </w:rPr>
        <w:t xml:space="preserve">were amalgamated into the Department of Planning and Infrastructure (DPI). This new institutional arrangement required that they report to one Minister under the banner of Planning and Infrastructure </w:t>
      </w:r>
      <w:r w:rsidRPr="002F0B81">
        <w:rPr>
          <w:sz w:val="24"/>
          <w:szCs w:val="24"/>
        </w:rPr>
        <w:fldChar w:fldCharType="begin"/>
      </w:r>
      <w:r w:rsidRPr="002F0B81">
        <w:rPr>
          <w:sz w:val="24"/>
          <w:szCs w:val="24"/>
        </w:rPr>
        <w:instrText xml:space="preserve"> ADDIN EN.CITE &lt;EndNote&gt;&lt;Cite&gt;&lt;Author&gt;Gleeson&lt;/Author&gt;&lt;Year&gt;2003&lt;/Year&gt;&lt;RecNum&gt;2&lt;/RecNum&gt;&lt;Suffix&gt;, p217&lt;/Suffix&gt;&lt;MDL&gt;&lt;REFERENCE_TYPE&gt;7&lt;/REFERENCE_TYPE&gt;&lt;REFNUM&gt;2&lt;/REFNUM&gt;&lt;AUTHORS&gt;&lt;AUTHOR&gt;Gleeson, Brenden&lt;/AUTHOR&gt;&lt;AUTHOR&gt;Curtis, Carey&lt;/AUTHOR&gt;&lt;AUTHOR&gt;Low, Nick&lt;/AUTHOR&gt;&lt;/AUTHORS&gt;&lt;YEAR&gt;2003&lt;/YEAR&gt;&lt;TITLE&gt;Barriers to Sustainable Transportation in Australia&lt;/TITLE&gt;&lt;SECONDARY_AUTHORS&gt;&lt;SECONDARY_AUTHOR&gt;Nicholas Low and Brendan Gleeson&lt;/SECONDARY_AUTHOR&gt;&lt;/SECONDARY_AUTHORS&gt;&lt;SECONDARY_TITLE&gt;Making Urban Transport Sustainable&lt;/SECONDARY_TITLE&gt;&lt;PLACE_PUBLISHED&gt;New York&lt;/PLACE_PUBLISHED&gt;&lt;PUBLISHER&gt;Palgrave Macmillan&lt;/PUBLISHER&gt;&lt;PAGES&gt;201-219&lt;/PAGES&gt;&lt;/MDL&gt;&lt;/Cite&gt;&lt;/EndNote&gt;</w:instrText>
      </w:r>
      <w:r w:rsidRPr="002F0B81">
        <w:rPr>
          <w:sz w:val="24"/>
          <w:szCs w:val="24"/>
        </w:rPr>
        <w:fldChar w:fldCharType="separate"/>
      </w:r>
      <w:r w:rsidRPr="002F0B81">
        <w:rPr>
          <w:sz w:val="24"/>
          <w:szCs w:val="24"/>
        </w:rPr>
        <w:t>(Gleeson, Curtis, &amp; Low, 2003, p217)</w:t>
      </w:r>
      <w:r w:rsidRPr="002F0B81">
        <w:rPr>
          <w:sz w:val="24"/>
          <w:szCs w:val="24"/>
        </w:rPr>
        <w:fldChar w:fldCharType="end"/>
      </w:r>
      <w:r w:rsidRPr="002F0B81">
        <w:rPr>
          <w:sz w:val="24"/>
          <w:szCs w:val="24"/>
        </w:rPr>
        <w:t xml:space="preserve">. In theory this institutional change was to have generated better coordination between planning and transport </w:t>
      </w:r>
      <w:r w:rsidR="00C2636D">
        <w:rPr>
          <w:sz w:val="24"/>
          <w:szCs w:val="24"/>
        </w:rPr>
        <w:t xml:space="preserve">infrastructure decisions </w:t>
      </w:r>
      <w:r w:rsidRPr="002F0B81">
        <w:rPr>
          <w:sz w:val="24"/>
          <w:szCs w:val="24"/>
        </w:rPr>
        <w:t>and therefore better integration.  In July 2009, after a change in government in 2008, the transport and town planning functions of state have again been separated.</w:t>
      </w:r>
    </w:p>
    <w:p w:rsidR="001E0BC2" w:rsidRDefault="001E0BC2" w:rsidP="00DC2712">
      <w:pPr>
        <w:jc w:val="both"/>
        <w:rPr>
          <w:b/>
          <w:sz w:val="24"/>
          <w:szCs w:val="24"/>
        </w:rPr>
      </w:pPr>
    </w:p>
    <w:p w:rsidR="007708BC" w:rsidRPr="007708BC" w:rsidRDefault="007708BC" w:rsidP="00DC2712">
      <w:pPr>
        <w:jc w:val="both"/>
        <w:rPr>
          <w:b/>
          <w:sz w:val="24"/>
          <w:szCs w:val="24"/>
        </w:rPr>
      </w:pPr>
      <w:r>
        <w:rPr>
          <w:b/>
          <w:sz w:val="24"/>
          <w:szCs w:val="24"/>
        </w:rPr>
        <w:t>Findings</w:t>
      </w:r>
    </w:p>
    <w:p w:rsidR="00DC2712" w:rsidRPr="00E563CA" w:rsidRDefault="00DC2712" w:rsidP="00DC2712">
      <w:pPr>
        <w:jc w:val="both"/>
        <w:rPr>
          <w:b/>
          <w:i/>
          <w:sz w:val="24"/>
          <w:szCs w:val="24"/>
        </w:rPr>
      </w:pPr>
      <w:r w:rsidRPr="00E563CA">
        <w:rPr>
          <w:b/>
          <w:i/>
          <w:sz w:val="24"/>
          <w:szCs w:val="24"/>
        </w:rPr>
        <w:t>Implementation: Local planning policy intentions</w:t>
      </w:r>
    </w:p>
    <w:p w:rsidR="00D8004E" w:rsidRDefault="00DC2712" w:rsidP="00D8004E">
      <w:pPr>
        <w:jc w:val="both"/>
        <w:rPr>
          <w:sz w:val="24"/>
          <w:szCs w:val="24"/>
        </w:rPr>
      </w:pPr>
      <w:r w:rsidRPr="00DC2712">
        <w:rPr>
          <w:sz w:val="24"/>
          <w:szCs w:val="24"/>
        </w:rPr>
        <w:t xml:space="preserve">The core planning considerations indicated in State planning policy which would deliver </w:t>
      </w:r>
      <w:r w:rsidR="00523AC6">
        <w:rPr>
          <w:sz w:val="24"/>
          <w:szCs w:val="24"/>
        </w:rPr>
        <w:t>TOD</w:t>
      </w:r>
      <w:r w:rsidR="002B7076">
        <w:rPr>
          <w:sz w:val="24"/>
          <w:szCs w:val="24"/>
        </w:rPr>
        <w:t xml:space="preserve"> are</w:t>
      </w:r>
      <w:r w:rsidRPr="00DC2712">
        <w:rPr>
          <w:sz w:val="24"/>
          <w:szCs w:val="24"/>
        </w:rPr>
        <w:t xml:space="preserve"> density and intensity of land use.  </w:t>
      </w:r>
      <w:r w:rsidR="00233921">
        <w:rPr>
          <w:sz w:val="24"/>
          <w:szCs w:val="24"/>
        </w:rPr>
        <w:t>L</w:t>
      </w:r>
      <w:r w:rsidR="007310F7">
        <w:rPr>
          <w:sz w:val="24"/>
          <w:szCs w:val="24"/>
        </w:rPr>
        <w:t xml:space="preserve">ocal </w:t>
      </w:r>
      <w:r w:rsidR="00233921">
        <w:rPr>
          <w:sz w:val="24"/>
          <w:szCs w:val="24"/>
        </w:rPr>
        <w:t xml:space="preserve">TPS </w:t>
      </w:r>
      <w:r w:rsidR="005D0A86" w:rsidRPr="00DC2712">
        <w:rPr>
          <w:sz w:val="24"/>
          <w:szCs w:val="24"/>
        </w:rPr>
        <w:t xml:space="preserve">zoning maps </w:t>
      </w:r>
      <w:r w:rsidR="00FA5255">
        <w:rPr>
          <w:sz w:val="24"/>
          <w:szCs w:val="24"/>
        </w:rPr>
        <w:t>for</w:t>
      </w:r>
      <w:r w:rsidR="00FA5255" w:rsidRPr="00DC2712">
        <w:rPr>
          <w:sz w:val="24"/>
          <w:szCs w:val="24"/>
        </w:rPr>
        <w:t xml:space="preserve"> </w:t>
      </w:r>
      <w:r w:rsidR="00FA5255">
        <w:rPr>
          <w:sz w:val="24"/>
          <w:szCs w:val="24"/>
        </w:rPr>
        <w:t xml:space="preserve">each </w:t>
      </w:r>
      <w:r w:rsidR="00FA5255" w:rsidRPr="00DC2712">
        <w:rPr>
          <w:sz w:val="24"/>
          <w:szCs w:val="24"/>
        </w:rPr>
        <w:t>station precinct</w:t>
      </w:r>
      <w:r w:rsidR="00FA5255">
        <w:rPr>
          <w:sz w:val="24"/>
          <w:szCs w:val="24"/>
        </w:rPr>
        <w:t xml:space="preserve"> </w:t>
      </w:r>
      <w:r w:rsidR="00233921">
        <w:rPr>
          <w:sz w:val="24"/>
          <w:szCs w:val="24"/>
        </w:rPr>
        <w:t xml:space="preserve">were analysed </w:t>
      </w:r>
      <w:r w:rsidR="00D17AD4">
        <w:rPr>
          <w:sz w:val="24"/>
          <w:szCs w:val="24"/>
        </w:rPr>
        <w:t xml:space="preserve">during 2007 </w:t>
      </w:r>
      <w:r w:rsidR="00233921">
        <w:rPr>
          <w:sz w:val="24"/>
          <w:szCs w:val="24"/>
        </w:rPr>
        <w:t>to assess</w:t>
      </w:r>
      <w:r w:rsidR="007310F7">
        <w:rPr>
          <w:sz w:val="24"/>
          <w:szCs w:val="24"/>
        </w:rPr>
        <w:t xml:space="preserve"> the extent of conformance with state policy</w:t>
      </w:r>
      <w:r w:rsidR="00D17AD4">
        <w:rPr>
          <w:sz w:val="24"/>
          <w:szCs w:val="24"/>
        </w:rPr>
        <w:t xml:space="preserve"> (</w:t>
      </w:r>
      <w:r w:rsidR="00233921">
        <w:rPr>
          <w:sz w:val="24"/>
          <w:szCs w:val="24"/>
        </w:rPr>
        <w:t>Table 2)</w:t>
      </w:r>
      <w:r w:rsidR="005D0A86">
        <w:rPr>
          <w:sz w:val="24"/>
          <w:szCs w:val="24"/>
        </w:rPr>
        <w:t>.</w:t>
      </w:r>
      <w:r w:rsidRPr="00DC2712">
        <w:rPr>
          <w:sz w:val="24"/>
          <w:szCs w:val="24"/>
        </w:rPr>
        <w:t xml:space="preserve"> </w:t>
      </w:r>
      <w:r w:rsidR="00C63DB9">
        <w:rPr>
          <w:sz w:val="24"/>
          <w:szCs w:val="24"/>
        </w:rPr>
        <w:t xml:space="preserve">Assessing conformance is not a straightforward task. First, </w:t>
      </w:r>
      <w:r w:rsidR="00FA5255">
        <w:rPr>
          <w:sz w:val="24"/>
          <w:szCs w:val="24"/>
        </w:rPr>
        <w:t>a decision</w:t>
      </w:r>
      <w:r w:rsidR="00C63DB9">
        <w:rPr>
          <w:sz w:val="24"/>
          <w:szCs w:val="24"/>
        </w:rPr>
        <w:t xml:space="preserve"> to compare the net or gross residential density with the state density requirement</w:t>
      </w:r>
      <w:r w:rsidR="00FA5255">
        <w:rPr>
          <w:sz w:val="24"/>
          <w:szCs w:val="24"/>
        </w:rPr>
        <w:t xml:space="preserve"> is needed</w:t>
      </w:r>
      <w:r w:rsidR="00C63DB9">
        <w:rPr>
          <w:sz w:val="24"/>
          <w:szCs w:val="24"/>
        </w:rPr>
        <w:t xml:space="preserve">. </w:t>
      </w:r>
      <w:r w:rsidR="00FA5255">
        <w:rPr>
          <w:sz w:val="24"/>
          <w:szCs w:val="24"/>
        </w:rPr>
        <w:t xml:space="preserve">In this case </w:t>
      </w:r>
      <w:r w:rsidR="00C63DB9">
        <w:rPr>
          <w:sz w:val="24"/>
          <w:szCs w:val="24"/>
        </w:rPr>
        <w:t xml:space="preserve">net density (number of zoned dwellings by area of residential land parcel) rather than gross density (number of zoned dwellings </w:t>
      </w:r>
      <w:r w:rsidR="00C63DB9">
        <w:rPr>
          <w:sz w:val="24"/>
          <w:szCs w:val="24"/>
        </w:rPr>
        <w:lastRenderedPageBreak/>
        <w:t>by total area of station precinct) was applied given the potential for the station precinct to have uses other than residential.  Therefore the assessment made is whether the land zoned residential is being utilised t</w:t>
      </w:r>
      <w:r w:rsidR="00FA5255">
        <w:rPr>
          <w:sz w:val="24"/>
          <w:szCs w:val="24"/>
        </w:rPr>
        <w:t>o full density potential</w:t>
      </w:r>
      <w:r w:rsidR="00C63DB9">
        <w:rPr>
          <w:sz w:val="24"/>
          <w:szCs w:val="24"/>
        </w:rPr>
        <w:t xml:space="preserve">.  The second issue in assessing conformance is </w:t>
      </w:r>
      <w:r w:rsidR="00FA5255">
        <w:rPr>
          <w:sz w:val="24"/>
          <w:szCs w:val="24"/>
        </w:rPr>
        <w:t>deciding which State TOD policy to measure against</w:t>
      </w:r>
      <w:r w:rsidR="00D8004E">
        <w:rPr>
          <w:sz w:val="24"/>
          <w:szCs w:val="24"/>
        </w:rPr>
        <w:t xml:space="preserve"> as m</w:t>
      </w:r>
      <w:r w:rsidR="00FA5255">
        <w:rPr>
          <w:sz w:val="24"/>
          <w:szCs w:val="24"/>
        </w:rPr>
        <w:t xml:space="preserve">any TPS have not been fully updated for years. </w:t>
      </w:r>
      <w:r w:rsidR="00D8004E">
        <w:rPr>
          <w:sz w:val="24"/>
          <w:szCs w:val="24"/>
        </w:rPr>
        <w:t>Some TPS</w:t>
      </w:r>
      <w:r w:rsidR="00FA5255">
        <w:rPr>
          <w:sz w:val="24"/>
          <w:szCs w:val="24"/>
        </w:rPr>
        <w:t xml:space="preserve"> were written much earlier than the latest State policy (2005) </w:t>
      </w:r>
      <w:r w:rsidR="00D8004E">
        <w:rPr>
          <w:sz w:val="24"/>
          <w:szCs w:val="24"/>
        </w:rPr>
        <w:t xml:space="preserve">and </w:t>
      </w:r>
      <w:r w:rsidR="00FA5255">
        <w:rPr>
          <w:sz w:val="24"/>
          <w:szCs w:val="24"/>
        </w:rPr>
        <w:t xml:space="preserve">in some cases prior to the first State </w:t>
      </w:r>
      <w:r w:rsidR="001E0BC2">
        <w:rPr>
          <w:sz w:val="24"/>
          <w:szCs w:val="24"/>
        </w:rPr>
        <w:t xml:space="preserve">TOD </w:t>
      </w:r>
      <w:r w:rsidR="00FA5255">
        <w:rPr>
          <w:sz w:val="24"/>
          <w:szCs w:val="24"/>
        </w:rPr>
        <w:t>policy in 1988</w:t>
      </w:r>
      <w:r w:rsidR="00FA5255" w:rsidRPr="002B7076">
        <w:rPr>
          <w:sz w:val="24"/>
          <w:szCs w:val="24"/>
        </w:rPr>
        <w:t>; this despite a requirement for local planning schemes to be updated every five years.</w:t>
      </w:r>
      <w:r w:rsidR="00FA5255">
        <w:rPr>
          <w:sz w:val="24"/>
          <w:szCs w:val="24"/>
        </w:rPr>
        <w:t xml:space="preserve">  </w:t>
      </w:r>
      <w:r w:rsidR="00D8004E">
        <w:rPr>
          <w:sz w:val="24"/>
          <w:szCs w:val="24"/>
        </w:rPr>
        <w:t xml:space="preserve">Just over half of the station precincts conformed to the 2005 policy (36 out of 68). Given the longevity of State policy interest in TOD this is cause for concern. </w:t>
      </w:r>
    </w:p>
    <w:p w:rsidR="00D8004E" w:rsidRPr="00D17AD4" w:rsidRDefault="00D8004E" w:rsidP="00D8004E">
      <w:pPr>
        <w:jc w:val="both"/>
        <w:rPr>
          <w:b/>
          <w:sz w:val="24"/>
          <w:szCs w:val="24"/>
        </w:rPr>
      </w:pPr>
      <w:r>
        <w:rPr>
          <w:b/>
          <w:sz w:val="24"/>
          <w:szCs w:val="24"/>
        </w:rPr>
        <w:t>Insert Table 2 here</w:t>
      </w:r>
    </w:p>
    <w:p w:rsidR="00D8004E" w:rsidRDefault="00D8004E" w:rsidP="00D8004E">
      <w:pPr>
        <w:jc w:val="both"/>
        <w:rPr>
          <w:sz w:val="24"/>
          <w:szCs w:val="24"/>
        </w:rPr>
      </w:pPr>
      <w:r>
        <w:rPr>
          <w:sz w:val="24"/>
          <w:szCs w:val="24"/>
        </w:rPr>
        <w:t>By taking the gazettal date of the TPS (the date at which a completely new scheme is written, relacing in entirety a prior scheme), since this represents the local authorities’ current policy position with regards TOD, it is possible to compare the density policy against the relevant State policy of the time (Figure 1).  Across the four state policy periods TPS conformance has been variable, 30% of stations precincts were in conformance in period one (no State policy), increasing to 44% in period two. There was a reduction in conformance in period three (35% of precincts conformed to zoning policy)</w:t>
      </w:r>
      <w:r w:rsidR="001E0BC2">
        <w:rPr>
          <w:sz w:val="24"/>
          <w:szCs w:val="24"/>
        </w:rPr>
        <w:t>; the 1999 State TOD policy did not proscribe actual densities.</w:t>
      </w:r>
      <w:r>
        <w:rPr>
          <w:sz w:val="24"/>
          <w:szCs w:val="24"/>
        </w:rPr>
        <w:t xml:space="preserve"> </w:t>
      </w:r>
      <w:r w:rsidR="001E0BC2">
        <w:rPr>
          <w:sz w:val="24"/>
          <w:szCs w:val="24"/>
        </w:rPr>
        <w:t>T</w:t>
      </w:r>
      <w:r>
        <w:rPr>
          <w:sz w:val="24"/>
          <w:szCs w:val="24"/>
        </w:rPr>
        <w:t>he majority of planning schemes cover this period</w:t>
      </w:r>
      <w:r w:rsidR="001E0BC2">
        <w:rPr>
          <w:sz w:val="24"/>
          <w:szCs w:val="24"/>
        </w:rPr>
        <w:t xml:space="preserve"> giving this lack of conformance greater impact on implementation outcomes</w:t>
      </w:r>
      <w:r>
        <w:rPr>
          <w:sz w:val="24"/>
          <w:szCs w:val="24"/>
        </w:rPr>
        <w:t xml:space="preserve">. The final policy period shows that all of station precincts conformed to the </w:t>
      </w:r>
      <w:r w:rsidR="001E0BC2">
        <w:rPr>
          <w:sz w:val="24"/>
          <w:szCs w:val="24"/>
        </w:rPr>
        <w:t>2005</w:t>
      </w:r>
      <w:r>
        <w:rPr>
          <w:sz w:val="24"/>
          <w:szCs w:val="24"/>
        </w:rPr>
        <w:t xml:space="preserve"> State </w:t>
      </w:r>
      <w:r w:rsidR="001E0BC2">
        <w:rPr>
          <w:sz w:val="24"/>
          <w:szCs w:val="24"/>
        </w:rPr>
        <w:t xml:space="preserve">TOD </w:t>
      </w:r>
      <w:r>
        <w:rPr>
          <w:sz w:val="24"/>
          <w:szCs w:val="24"/>
        </w:rPr>
        <w:t>policy.  It should be noted however that while this policy specifies a density it is lower than in the 1988 policy</w:t>
      </w:r>
      <w:r w:rsidR="001E0BC2">
        <w:rPr>
          <w:sz w:val="24"/>
          <w:szCs w:val="24"/>
        </w:rPr>
        <w:t xml:space="preserve"> (see Table 1 for details)</w:t>
      </w:r>
      <w:r>
        <w:rPr>
          <w:sz w:val="24"/>
          <w:szCs w:val="24"/>
        </w:rPr>
        <w:t>.</w:t>
      </w:r>
      <w:r w:rsidRPr="002B7076">
        <w:rPr>
          <w:sz w:val="24"/>
          <w:szCs w:val="24"/>
        </w:rPr>
        <w:t xml:space="preserve"> </w:t>
      </w:r>
    </w:p>
    <w:p w:rsidR="00E83B5A" w:rsidRDefault="00F545EA" w:rsidP="00920C5E">
      <w:pPr>
        <w:jc w:val="both"/>
        <w:rPr>
          <w:sz w:val="24"/>
          <w:szCs w:val="24"/>
        </w:rPr>
      </w:pPr>
      <w:r w:rsidRPr="00F545EA">
        <w:rPr>
          <w:noProof/>
          <w:sz w:val="24"/>
          <w:szCs w:val="24"/>
          <w:lang w:eastAsia="en-AU"/>
        </w:rPr>
        <w:drawing>
          <wp:inline distT="0" distB="0" distL="0" distR="0" wp14:anchorId="3E532DD5" wp14:editId="18122796">
            <wp:extent cx="3902869" cy="2257425"/>
            <wp:effectExtent l="0" t="0" r="2159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83B5A">
        <w:rPr>
          <w:sz w:val="24"/>
          <w:szCs w:val="24"/>
        </w:rPr>
        <w:t xml:space="preserve"> </w:t>
      </w:r>
    </w:p>
    <w:p w:rsidR="001D5F1B" w:rsidRDefault="006B78AD" w:rsidP="001D5F1B">
      <w:pPr>
        <w:jc w:val="both"/>
        <w:rPr>
          <w:sz w:val="24"/>
          <w:szCs w:val="24"/>
        </w:rPr>
      </w:pPr>
      <w:r>
        <w:rPr>
          <w:sz w:val="24"/>
          <w:szCs w:val="24"/>
        </w:rPr>
        <w:t>A</w:t>
      </w:r>
      <w:r w:rsidR="009A7B7E">
        <w:rPr>
          <w:sz w:val="24"/>
          <w:szCs w:val="24"/>
        </w:rPr>
        <w:t>n in-depth analysis of implantation per</w:t>
      </w:r>
      <w:r>
        <w:rPr>
          <w:sz w:val="24"/>
          <w:szCs w:val="24"/>
        </w:rPr>
        <w:t xml:space="preserve">formance </w:t>
      </w:r>
      <w:r w:rsidR="007708BC">
        <w:rPr>
          <w:sz w:val="24"/>
          <w:szCs w:val="24"/>
        </w:rPr>
        <w:t>must take into account a wider range of issues.  A key issue is whether or not all station precincts should necessarily be TOD’s.  State TOD policy provide</w:t>
      </w:r>
      <w:r w:rsidR="002550B4">
        <w:rPr>
          <w:sz w:val="24"/>
          <w:szCs w:val="24"/>
        </w:rPr>
        <w:t>s no</w:t>
      </w:r>
      <w:r w:rsidR="007708BC">
        <w:rPr>
          <w:sz w:val="24"/>
          <w:szCs w:val="24"/>
        </w:rPr>
        <w:t xml:space="preserve"> guidance on </w:t>
      </w:r>
      <w:r w:rsidR="002550B4">
        <w:rPr>
          <w:sz w:val="24"/>
          <w:szCs w:val="24"/>
        </w:rPr>
        <w:t>this;</w:t>
      </w:r>
      <w:r w:rsidR="007708BC">
        <w:rPr>
          <w:sz w:val="24"/>
          <w:szCs w:val="24"/>
        </w:rPr>
        <w:t xml:space="preserve"> instead the policy </w:t>
      </w:r>
      <w:r w:rsidR="002550B4">
        <w:rPr>
          <w:sz w:val="24"/>
          <w:szCs w:val="24"/>
        </w:rPr>
        <w:t xml:space="preserve">is </w:t>
      </w:r>
      <w:r w:rsidR="007708BC">
        <w:rPr>
          <w:sz w:val="24"/>
          <w:szCs w:val="24"/>
        </w:rPr>
        <w:t xml:space="preserve">applied across </w:t>
      </w:r>
      <w:r w:rsidR="002550B4">
        <w:rPr>
          <w:sz w:val="24"/>
          <w:szCs w:val="24"/>
        </w:rPr>
        <w:t>to all stations</w:t>
      </w:r>
      <w:r w:rsidR="009A7B7E">
        <w:rPr>
          <w:sz w:val="24"/>
          <w:szCs w:val="24"/>
        </w:rPr>
        <w:t xml:space="preserve"> regardless of their place and function within the region</w:t>
      </w:r>
      <w:r w:rsidR="007708BC">
        <w:rPr>
          <w:sz w:val="24"/>
          <w:szCs w:val="24"/>
        </w:rPr>
        <w:t xml:space="preserve">.  </w:t>
      </w:r>
      <w:r w:rsidR="002550B4">
        <w:rPr>
          <w:sz w:val="24"/>
          <w:szCs w:val="24"/>
        </w:rPr>
        <w:t>The policy requires</w:t>
      </w:r>
      <w:r w:rsidR="007708BC">
        <w:rPr>
          <w:sz w:val="24"/>
          <w:szCs w:val="24"/>
        </w:rPr>
        <w:t xml:space="preserve"> higher than baseline densities where service frequencies are 15 minutes or less</w:t>
      </w:r>
      <w:r w:rsidR="002550B4">
        <w:rPr>
          <w:sz w:val="24"/>
          <w:szCs w:val="24"/>
        </w:rPr>
        <w:t xml:space="preserve">, but </w:t>
      </w:r>
      <w:r w:rsidR="007708BC">
        <w:rPr>
          <w:sz w:val="24"/>
          <w:szCs w:val="24"/>
        </w:rPr>
        <w:t xml:space="preserve">railway lines run at </w:t>
      </w:r>
      <w:r w:rsidR="002550B4">
        <w:rPr>
          <w:sz w:val="24"/>
          <w:szCs w:val="24"/>
        </w:rPr>
        <w:t>this</w:t>
      </w:r>
      <w:r w:rsidR="007708BC">
        <w:rPr>
          <w:sz w:val="24"/>
          <w:szCs w:val="24"/>
        </w:rPr>
        <w:t xml:space="preserve"> frequency during peak periods so this would suggest that all stations must be TODs.  Turning to other State policies for guidance enables some </w:t>
      </w:r>
      <w:r w:rsidR="002550B4">
        <w:rPr>
          <w:sz w:val="24"/>
          <w:szCs w:val="24"/>
        </w:rPr>
        <w:t xml:space="preserve">indirect </w:t>
      </w:r>
      <w:r w:rsidR="007708BC">
        <w:rPr>
          <w:sz w:val="24"/>
          <w:szCs w:val="24"/>
        </w:rPr>
        <w:t>assessm</w:t>
      </w:r>
      <w:r w:rsidR="002550B4">
        <w:rPr>
          <w:sz w:val="24"/>
          <w:szCs w:val="24"/>
        </w:rPr>
        <w:t>ent of which station precincts</w:t>
      </w:r>
      <w:r w:rsidR="007708BC">
        <w:rPr>
          <w:sz w:val="24"/>
          <w:szCs w:val="24"/>
        </w:rPr>
        <w:t xml:space="preserve"> could </w:t>
      </w:r>
      <w:r w:rsidR="009A7B7E">
        <w:rPr>
          <w:sz w:val="24"/>
          <w:szCs w:val="24"/>
        </w:rPr>
        <w:t xml:space="preserve">reasonably </w:t>
      </w:r>
      <w:r w:rsidR="007708BC">
        <w:rPr>
          <w:sz w:val="24"/>
          <w:szCs w:val="24"/>
        </w:rPr>
        <w:t xml:space="preserve">be expected to </w:t>
      </w:r>
      <w:r w:rsidR="009A7B7E">
        <w:rPr>
          <w:sz w:val="24"/>
          <w:szCs w:val="24"/>
        </w:rPr>
        <w:t>be TODs</w:t>
      </w:r>
      <w:r w:rsidR="007708BC">
        <w:rPr>
          <w:sz w:val="24"/>
          <w:szCs w:val="24"/>
        </w:rPr>
        <w:t>.  The</w:t>
      </w:r>
      <w:r w:rsidR="002550B4">
        <w:rPr>
          <w:sz w:val="24"/>
          <w:szCs w:val="24"/>
        </w:rPr>
        <w:t xml:space="preserve"> </w:t>
      </w:r>
      <w:r w:rsidR="007708BC">
        <w:rPr>
          <w:sz w:val="24"/>
          <w:szCs w:val="24"/>
        </w:rPr>
        <w:t xml:space="preserve">Metropolitan Centres </w:t>
      </w:r>
      <w:r w:rsidR="002550B4">
        <w:rPr>
          <w:sz w:val="24"/>
          <w:szCs w:val="24"/>
        </w:rPr>
        <w:t xml:space="preserve">Policy </w:t>
      </w:r>
      <w:r w:rsidR="007708BC">
        <w:rPr>
          <w:sz w:val="24"/>
          <w:szCs w:val="24"/>
        </w:rPr>
        <w:t>(</w:t>
      </w:r>
      <w:r w:rsidR="007708BC" w:rsidRPr="00C40BBB">
        <w:rPr>
          <w:sz w:val="24"/>
          <w:szCs w:val="24"/>
        </w:rPr>
        <w:t>19</w:t>
      </w:r>
      <w:r w:rsidR="00C40BBB" w:rsidRPr="00C40BBB">
        <w:rPr>
          <w:sz w:val="24"/>
          <w:szCs w:val="24"/>
        </w:rPr>
        <w:t>91</w:t>
      </w:r>
      <w:r w:rsidR="00982870">
        <w:rPr>
          <w:sz w:val="24"/>
          <w:szCs w:val="24"/>
        </w:rPr>
        <w:t>) designated 5 Strategic Regional Centres</w:t>
      </w:r>
      <w:r w:rsidR="002550B4">
        <w:rPr>
          <w:sz w:val="24"/>
          <w:szCs w:val="24"/>
        </w:rPr>
        <w:t xml:space="preserve">. The policy promotes the need for good public transport accessibility to these centres but only designated retail floor space caps, it was silent on residential density. Only </w:t>
      </w:r>
      <w:r w:rsidR="00A02B04">
        <w:rPr>
          <w:sz w:val="24"/>
          <w:szCs w:val="24"/>
        </w:rPr>
        <w:t>3</w:t>
      </w:r>
      <w:r w:rsidR="00982870">
        <w:rPr>
          <w:sz w:val="24"/>
          <w:szCs w:val="24"/>
        </w:rPr>
        <w:t xml:space="preserve"> of </w:t>
      </w:r>
      <w:r w:rsidR="002550B4">
        <w:rPr>
          <w:sz w:val="24"/>
          <w:szCs w:val="24"/>
        </w:rPr>
        <w:t>the 5 Centres</w:t>
      </w:r>
      <w:r w:rsidR="00982870">
        <w:rPr>
          <w:sz w:val="24"/>
          <w:szCs w:val="24"/>
        </w:rPr>
        <w:t xml:space="preserve"> conform to the TOD</w:t>
      </w:r>
      <w:r w:rsidR="002550B4">
        <w:rPr>
          <w:sz w:val="24"/>
          <w:szCs w:val="24"/>
        </w:rPr>
        <w:t xml:space="preserve"> policy density.</w:t>
      </w:r>
      <w:r w:rsidR="00773D5A">
        <w:rPr>
          <w:sz w:val="24"/>
          <w:szCs w:val="24"/>
        </w:rPr>
        <w:t xml:space="preserve"> The 1991 Metropolitan Centres policy was superseded by </w:t>
      </w:r>
      <w:r w:rsidR="001D5F1B" w:rsidRPr="001D5F1B">
        <w:rPr>
          <w:sz w:val="24"/>
          <w:szCs w:val="24"/>
        </w:rPr>
        <w:t>a new Activity Centres policy (Government of Western Australia, 2010</w:t>
      </w:r>
      <w:r w:rsidR="009A7B7E">
        <w:rPr>
          <w:sz w:val="24"/>
          <w:szCs w:val="24"/>
        </w:rPr>
        <w:t xml:space="preserve">) and may give potential </w:t>
      </w:r>
      <w:r w:rsidR="009A7B7E">
        <w:rPr>
          <w:sz w:val="24"/>
          <w:szCs w:val="24"/>
        </w:rPr>
        <w:lastRenderedPageBreak/>
        <w:t>guidance on which precincts</w:t>
      </w:r>
      <w:r w:rsidR="00773D5A">
        <w:rPr>
          <w:sz w:val="24"/>
          <w:szCs w:val="24"/>
        </w:rPr>
        <w:t xml:space="preserve"> should be TODs</w:t>
      </w:r>
      <w:r w:rsidR="009A7B7E">
        <w:rPr>
          <w:sz w:val="24"/>
          <w:szCs w:val="24"/>
        </w:rPr>
        <w:t xml:space="preserve"> (</w:t>
      </w:r>
      <w:r w:rsidR="00773D5A">
        <w:rPr>
          <w:sz w:val="24"/>
          <w:szCs w:val="24"/>
        </w:rPr>
        <w:t>although the 2005 State TOD policy has not been rescinded</w:t>
      </w:r>
      <w:r w:rsidR="009A7B7E">
        <w:rPr>
          <w:sz w:val="24"/>
          <w:szCs w:val="24"/>
        </w:rPr>
        <w:t>)</w:t>
      </w:r>
      <w:r w:rsidR="00773D5A">
        <w:rPr>
          <w:sz w:val="24"/>
          <w:szCs w:val="24"/>
        </w:rPr>
        <w:t xml:space="preserve">. </w:t>
      </w:r>
      <w:r w:rsidR="001D5F1B" w:rsidRPr="001D5F1B">
        <w:rPr>
          <w:sz w:val="24"/>
          <w:szCs w:val="24"/>
        </w:rPr>
        <w:t xml:space="preserve">A hierarchy of </w:t>
      </w:r>
      <w:r w:rsidR="001D5F1B">
        <w:rPr>
          <w:sz w:val="24"/>
          <w:szCs w:val="24"/>
        </w:rPr>
        <w:t xml:space="preserve">99 </w:t>
      </w:r>
      <w:r w:rsidR="001D5F1B" w:rsidRPr="001D5F1B">
        <w:rPr>
          <w:sz w:val="24"/>
          <w:szCs w:val="24"/>
        </w:rPr>
        <w:t xml:space="preserve">centres is </w:t>
      </w:r>
      <w:r w:rsidR="00100958">
        <w:rPr>
          <w:sz w:val="24"/>
          <w:szCs w:val="24"/>
        </w:rPr>
        <w:t xml:space="preserve">established which </w:t>
      </w:r>
      <w:r w:rsidR="001D5F1B" w:rsidRPr="001D5F1B">
        <w:rPr>
          <w:sz w:val="24"/>
          <w:szCs w:val="24"/>
        </w:rPr>
        <w:t>includ</w:t>
      </w:r>
      <w:r w:rsidR="00100958">
        <w:rPr>
          <w:sz w:val="24"/>
          <w:szCs w:val="24"/>
        </w:rPr>
        <w:t>es</w:t>
      </w:r>
      <w:r w:rsidR="001D5F1B" w:rsidRPr="001D5F1B">
        <w:rPr>
          <w:sz w:val="24"/>
          <w:szCs w:val="24"/>
        </w:rPr>
        <w:t xml:space="preserve"> </w:t>
      </w:r>
      <w:r w:rsidR="00523AC6" w:rsidRPr="001D5F1B">
        <w:rPr>
          <w:sz w:val="24"/>
          <w:szCs w:val="24"/>
        </w:rPr>
        <w:t>class</w:t>
      </w:r>
      <w:r w:rsidR="00523AC6">
        <w:rPr>
          <w:sz w:val="24"/>
          <w:szCs w:val="24"/>
        </w:rPr>
        <w:t>ificati</w:t>
      </w:r>
      <w:r w:rsidR="009A7B7E">
        <w:rPr>
          <w:sz w:val="24"/>
          <w:szCs w:val="24"/>
        </w:rPr>
        <w:t>on</w:t>
      </w:r>
      <w:r w:rsidR="00523AC6">
        <w:rPr>
          <w:sz w:val="24"/>
          <w:szCs w:val="24"/>
        </w:rPr>
        <w:t xml:space="preserve"> </w:t>
      </w:r>
      <w:r w:rsidR="009A7B7E">
        <w:rPr>
          <w:sz w:val="24"/>
          <w:szCs w:val="24"/>
        </w:rPr>
        <w:t>of strategic, secondary and</w:t>
      </w:r>
      <w:r w:rsidR="001D5F1B" w:rsidRPr="001D5F1B">
        <w:rPr>
          <w:sz w:val="24"/>
          <w:szCs w:val="24"/>
        </w:rPr>
        <w:t xml:space="preserve"> district centres. Of significance is that minimum residential density levels are set ranging from 20 </w:t>
      </w:r>
      <w:r w:rsidR="00773D5A">
        <w:rPr>
          <w:sz w:val="24"/>
          <w:szCs w:val="24"/>
        </w:rPr>
        <w:t>-</w:t>
      </w:r>
      <w:r w:rsidR="001D5F1B" w:rsidRPr="001D5F1B">
        <w:rPr>
          <w:sz w:val="24"/>
          <w:szCs w:val="24"/>
        </w:rPr>
        <w:t xml:space="preserve"> 30 dwelling</w:t>
      </w:r>
      <w:r w:rsidR="00773D5A">
        <w:rPr>
          <w:sz w:val="24"/>
          <w:szCs w:val="24"/>
        </w:rPr>
        <w:t>s</w:t>
      </w:r>
      <w:r w:rsidR="001D5F1B" w:rsidRPr="001D5F1B">
        <w:rPr>
          <w:sz w:val="24"/>
          <w:szCs w:val="24"/>
        </w:rPr>
        <w:t xml:space="preserve"> per “gross” hectare depending on type of centre. </w:t>
      </w:r>
      <w:r w:rsidR="007523EC">
        <w:rPr>
          <w:sz w:val="24"/>
          <w:szCs w:val="24"/>
        </w:rPr>
        <w:t>The definition of</w:t>
      </w:r>
      <w:r w:rsidR="009A7B7E">
        <w:rPr>
          <w:sz w:val="24"/>
          <w:szCs w:val="24"/>
        </w:rPr>
        <w:t xml:space="preserve"> gross density differs from previous definitions. It</w:t>
      </w:r>
      <w:r w:rsidR="001D5F1B" w:rsidRPr="001D5F1B">
        <w:rPr>
          <w:sz w:val="24"/>
          <w:szCs w:val="24"/>
        </w:rPr>
        <w:t xml:space="preserve"> is defined as residential land zoned not including land for parks, public purpose and transport corridors – effectively a net density figure.  Added to this explanation is a note that “net” densities would be likely to be two to three times higher – effectively a site density or residential footprint.  </w:t>
      </w:r>
      <w:r w:rsidR="001D5F1B">
        <w:rPr>
          <w:sz w:val="24"/>
          <w:szCs w:val="24"/>
        </w:rPr>
        <w:t>T</w:t>
      </w:r>
      <w:r w:rsidR="001D5F1B" w:rsidRPr="001D5F1B">
        <w:rPr>
          <w:sz w:val="24"/>
          <w:szCs w:val="24"/>
        </w:rPr>
        <w:t>his new policy</w:t>
      </w:r>
      <w:r w:rsidR="001D5F1B">
        <w:rPr>
          <w:sz w:val="24"/>
          <w:szCs w:val="24"/>
        </w:rPr>
        <w:t xml:space="preserve"> applies</w:t>
      </w:r>
      <w:r w:rsidR="001D5F1B" w:rsidRPr="001D5F1B">
        <w:rPr>
          <w:sz w:val="24"/>
          <w:szCs w:val="24"/>
        </w:rPr>
        <w:t xml:space="preserve"> to </w:t>
      </w:r>
      <w:r w:rsidR="001D5F1B">
        <w:rPr>
          <w:sz w:val="24"/>
          <w:szCs w:val="24"/>
        </w:rPr>
        <w:t xml:space="preserve">36 of the 68 </w:t>
      </w:r>
      <w:r w:rsidR="001D5F1B" w:rsidRPr="001D5F1B">
        <w:rPr>
          <w:sz w:val="24"/>
          <w:szCs w:val="24"/>
        </w:rPr>
        <w:t xml:space="preserve">station precincts in Perth and these will be expected to deliver higher densities than those indicated in the </w:t>
      </w:r>
      <w:r w:rsidR="00773D5A">
        <w:rPr>
          <w:sz w:val="24"/>
          <w:szCs w:val="24"/>
        </w:rPr>
        <w:t>2005 State TOD policy</w:t>
      </w:r>
      <w:r w:rsidR="001D5F1B" w:rsidRPr="001D5F1B">
        <w:rPr>
          <w:sz w:val="24"/>
          <w:szCs w:val="24"/>
        </w:rPr>
        <w:t xml:space="preserve">. The implementation of the </w:t>
      </w:r>
      <w:r w:rsidR="00B439B7">
        <w:rPr>
          <w:sz w:val="24"/>
          <w:szCs w:val="24"/>
        </w:rPr>
        <w:t xml:space="preserve">Activity Centres </w:t>
      </w:r>
      <w:r w:rsidR="001D5F1B" w:rsidRPr="001D5F1B">
        <w:rPr>
          <w:sz w:val="24"/>
          <w:szCs w:val="24"/>
        </w:rPr>
        <w:t xml:space="preserve">policy will require amendment of </w:t>
      </w:r>
      <w:r w:rsidR="009A7B7E">
        <w:rPr>
          <w:sz w:val="24"/>
          <w:szCs w:val="24"/>
        </w:rPr>
        <w:t>TPS</w:t>
      </w:r>
      <w:r w:rsidR="001D5F1B" w:rsidRPr="001D5F1B">
        <w:rPr>
          <w:sz w:val="24"/>
          <w:szCs w:val="24"/>
        </w:rPr>
        <w:t>.</w:t>
      </w:r>
      <w:r w:rsidR="00773D5A">
        <w:rPr>
          <w:sz w:val="24"/>
          <w:szCs w:val="24"/>
        </w:rPr>
        <w:t xml:space="preserve">  Figure 2</w:t>
      </w:r>
      <w:r w:rsidR="00B439B7">
        <w:rPr>
          <w:sz w:val="24"/>
          <w:szCs w:val="24"/>
        </w:rPr>
        <w:t xml:space="preserve"> shows the 36 station precincts which are now designated </w:t>
      </w:r>
      <w:r w:rsidR="00773D5A">
        <w:rPr>
          <w:sz w:val="24"/>
          <w:szCs w:val="24"/>
        </w:rPr>
        <w:t>in the 2010 Activity</w:t>
      </w:r>
      <w:r w:rsidR="00B439B7">
        <w:rPr>
          <w:sz w:val="24"/>
          <w:szCs w:val="24"/>
        </w:rPr>
        <w:t xml:space="preserve"> Centres </w:t>
      </w:r>
      <w:r w:rsidR="00773D5A">
        <w:rPr>
          <w:sz w:val="24"/>
          <w:szCs w:val="24"/>
        </w:rPr>
        <w:t xml:space="preserve">policy </w:t>
      </w:r>
      <w:r w:rsidR="00B439B7">
        <w:rPr>
          <w:sz w:val="24"/>
          <w:szCs w:val="24"/>
        </w:rPr>
        <w:t xml:space="preserve">and indicates which </w:t>
      </w:r>
      <w:r w:rsidR="00773D5A">
        <w:rPr>
          <w:sz w:val="24"/>
          <w:szCs w:val="24"/>
        </w:rPr>
        <w:t xml:space="preserve">precincts </w:t>
      </w:r>
      <w:r w:rsidR="00B439B7">
        <w:rPr>
          <w:sz w:val="24"/>
          <w:szCs w:val="24"/>
        </w:rPr>
        <w:t xml:space="preserve">have densities conforming to </w:t>
      </w:r>
      <w:r w:rsidR="00773D5A">
        <w:rPr>
          <w:sz w:val="24"/>
          <w:szCs w:val="24"/>
        </w:rPr>
        <w:t>this</w:t>
      </w:r>
      <w:r w:rsidR="00B439B7">
        <w:rPr>
          <w:sz w:val="24"/>
          <w:szCs w:val="24"/>
        </w:rPr>
        <w:t xml:space="preserve"> policy. At the lowest level of the hierarchy 13 out of 16 of the precincts conform</w:t>
      </w:r>
      <w:r w:rsidR="00773D5A">
        <w:rPr>
          <w:sz w:val="24"/>
          <w:szCs w:val="24"/>
        </w:rPr>
        <w:t>. A</w:t>
      </w:r>
      <w:r w:rsidR="00B439B7">
        <w:rPr>
          <w:sz w:val="24"/>
          <w:szCs w:val="24"/>
        </w:rPr>
        <w:t xml:space="preserve">t the other two levels fewer </w:t>
      </w:r>
      <w:r w:rsidR="00773D5A">
        <w:rPr>
          <w:sz w:val="24"/>
          <w:szCs w:val="24"/>
        </w:rPr>
        <w:t xml:space="preserve">precincts conform, </w:t>
      </w:r>
      <w:r w:rsidR="00B439B7">
        <w:rPr>
          <w:sz w:val="24"/>
          <w:szCs w:val="24"/>
        </w:rPr>
        <w:t>highlight</w:t>
      </w:r>
      <w:r w:rsidR="00773D5A">
        <w:rPr>
          <w:sz w:val="24"/>
          <w:szCs w:val="24"/>
        </w:rPr>
        <w:t xml:space="preserve">ing </w:t>
      </w:r>
      <w:r w:rsidR="00B439B7">
        <w:rPr>
          <w:sz w:val="24"/>
          <w:szCs w:val="24"/>
        </w:rPr>
        <w:t xml:space="preserve">the </w:t>
      </w:r>
      <w:r w:rsidR="00773D5A">
        <w:rPr>
          <w:sz w:val="24"/>
          <w:szCs w:val="24"/>
        </w:rPr>
        <w:t xml:space="preserve">need for </w:t>
      </w:r>
      <w:r w:rsidR="00B439B7">
        <w:rPr>
          <w:sz w:val="24"/>
          <w:szCs w:val="24"/>
        </w:rPr>
        <w:t xml:space="preserve">expedited amendment of </w:t>
      </w:r>
      <w:r w:rsidR="00C543DE">
        <w:rPr>
          <w:sz w:val="24"/>
          <w:szCs w:val="24"/>
        </w:rPr>
        <w:t>TPS</w:t>
      </w:r>
      <w:r w:rsidR="00B439B7">
        <w:rPr>
          <w:sz w:val="24"/>
          <w:szCs w:val="24"/>
        </w:rPr>
        <w:t>.</w:t>
      </w:r>
    </w:p>
    <w:p w:rsidR="00B439B7" w:rsidRDefault="00B439B7" w:rsidP="001D5F1B">
      <w:pPr>
        <w:jc w:val="both"/>
        <w:rPr>
          <w:sz w:val="24"/>
          <w:szCs w:val="24"/>
        </w:rPr>
      </w:pPr>
      <w:r w:rsidRPr="00B439B7">
        <w:rPr>
          <w:noProof/>
          <w:sz w:val="24"/>
          <w:szCs w:val="24"/>
          <w:lang w:eastAsia="en-AU"/>
        </w:rPr>
        <w:drawing>
          <wp:inline distT="0" distB="0" distL="0" distR="0">
            <wp:extent cx="4117181" cy="2421731"/>
            <wp:effectExtent l="0" t="0" r="17145" b="17145"/>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3C16" w:rsidRDefault="00183B7C" w:rsidP="00242AEC">
      <w:pPr>
        <w:jc w:val="both"/>
        <w:rPr>
          <w:sz w:val="24"/>
          <w:szCs w:val="24"/>
        </w:rPr>
      </w:pPr>
      <w:r>
        <w:rPr>
          <w:sz w:val="24"/>
          <w:szCs w:val="24"/>
        </w:rPr>
        <w:t xml:space="preserve">The analysis thus far has focussed on implementation by state and local governments following </w:t>
      </w:r>
      <w:r w:rsidR="009A7B7E">
        <w:rPr>
          <w:sz w:val="24"/>
          <w:szCs w:val="24"/>
        </w:rPr>
        <w:t xml:space="preserve">the </w:t>
      </w:r>
      <w:r>
        <w:rPr>
          <w:sz w:val="24"/>
          <w:szCs w:val="24"/>
        </w:rPr>
        <w:t>conventional pl</w:t>
      </w:r>
      <w:r w:rsidR="009A7B7E">
        <w:rPr>
          <w:sz w:val="24"/>
          <w:szCs w:val="24"/>
        </w:rPr>
        <w:t>anning approach</w:t>
      </w:r>
      <w:r>
        <w:rPr>
          <w:sz w:val="24"/>
          <w:szCs w:val="24"/>
        </w:rPr>
        <w:t>.  As with international planning practice, alternative public sector planning models have been adopted in Perth including the use of Redevelopment Authorities</w:t>
      </w:r>
      <w:r>
        <w:rPr>
          <w:rStyle w:val="FootnoteReference"/>
          <w:sz w:val="24"/>
          <w:szCs w:val="24"/>
        </w:rPr>
        <w:footnoteReference w:id="2"/>
      </w:r>
      <w:r>
        <w:rPr>
          <w:sz w:val="24"/>
          <w:szCs w:val="24"/>
        </w:rPr>
        <w:t xml:space="preserve"> (RDA) and public sector development agencies. Have these alternative models delivered any greater implementation success?  Four precincts fall under the RDA jurisdiction, i</w:t>
      </w:r>
      <w:r w:rsidR="00913981">
        <w:rPr>
          <w:sz w:val="24"/>
          <w:szCs w:val="24"/>
        </w:rPr>
        <w:t>n all</w:t>
      </w:r>
      <w:r w:rsidR="00CC1423">
        <w:rPr>
          <w:sz w:val="24"/>
          <w:szCs w:val="24"/>
        </w:rPr>
        <w:t xml:space="preserve"> but one </w:t>
      </w:r>
      <w:r w:rsidR="00913981">
        <w:rPr>
          <w:sz w:val="24"/>
          <w:szCs w:val="24"/>
        </w:rPr>
        <w:t xml:space="preserve">case density zonings </w:t>
      </w:r>
      <w:r w:rsidR="00CC1423">
        <w:rPr>
          <w:sz w:val="24"/>
          <w:szCs w:val="24"/>
        </w:rPr>
        <w:t>have</w:t>
      </w:r>
      <w:r w:rsidR="00913981">
        <w:rPr>
          <w:sz w:val="24"/>
          <w:szCs w:val="24"/>
        </w:rPr>
        <w:t xml:space="preserve"> conform</w:t>
      </w:r>
      <w:r w:rsidR="00CC1423">
        <w:rPr>
          <w:sz w:val="24"/>
          <w:szCs w:val="24"/>
        </w:rPr>
        <w:t>ed</w:t>
      </w:r>
      <w:r w:rsidR="00913981">
        <w:rPr>
          <w:sz w:val="24"/>
          <w:szCs w:val="24"/>
        </w:rPr>
        <w:t xml:space="preserve"> to State </w:t>
      </w:r>
      <w:r>
        <w:rPr>
          <w:sz w:val="24"/>
          <w:szCs w:val="24"/>
        </w:rPr>
        <w:t xml:space="preserve">TOD </w:t>
      </w:r>
      <w:r w:rsidR="00913981">
        <w:rPr>
          <w:sz w:val="24"/>
          <w:szCs w:val="24"/>
        </w:rPr>
        <w:t>policy</w:t>
      </w:r>
      <w:r>
        <w:rPr>
          <w:sz w:val="24"/>
          <w:szCs w:val="24"/>
        </w:rPr>
        <w:t xml:space="preserve"> (Table 2</w:t>
      </w:r>
      <w:r w:rsidR="00242AEC">
        <w:rPr>
          <w:sz w:val="24"/>
          <w:szCs w:val="24"/>
        </w:rPr>
        <w:t xml:space="preserve">). </w:t>
      </w:r>
      <w:r w:rsidR="001A22DC">
        <w:rPr>
          <w:sz w:val="24"/>
          <w:szCs w:val="24"/>
        </w:rPr>
        <w:t xml:space="preserve"> </w:t>
      </w:r>
      <w:r w:rsidR="00242AEC" w:rsidRPr="0071011D">
        <w:rPr>
          <w:sz w:val="24"/>
          <w:szCs w:val="24"/>
          <w:lang w:val="en-US"/>
        </w:rPr>
        <w:t>At Subiaco</w:t>
      </w:r>
      <w:r w:rsidR="00242AEC" w:rsidRPr="00242AEC">
        <w:rPr>
          <w:sz w:val="24"/>
          <w:szCs w:val="24"/>
        </w:rPr>
        <w:t xml:space="preserve"> </w:t>
      </w:r>
      <w:r w:rsidR="00242AEC">
        <w:rPr>
          <w:sz w:val="24"/>
          <w:szCs w:val="24"/>
        </w:rPr>
        <w:t>(Photograph 1)</w:t>
      </w:r>
      <w:r w:rsidR="00242AEC">
        <w:rPr>
          <w:sz w:val="24"/>
          <w:szCs w:val="24"/>
          <w:lang w:val="en-US"/>
        </w:rPr>
        <w:t>, for example,</w:t>
      </w:r>
      <w:r w:rsidR="00242AEC" w:rsidRPr="0071011D">
        <w:rPr>
          <w:sz w:val="24"/>
          <w:szCs w:val="24"/>
          <w:lang w:val="en-US"/>
        </w:rPr>
        <w:t xml:space="preserve"> the railway line was placed underground in 1998 so releasing new land which, coupled with adjoining vacant industrial land, has seen an additional 1</w:t>
      </w:r>
      <w:r w:rsidR="00242AEC">
        <w:rPr>
          <w:sz w:val="24"/>
          <w:szCs w:val="24"/>
          <w:lang w:val="en-US"/>
        </w:rPr>
        <w:t>,</w:t>
      </w:r>
      <w:r w:rsidR="00242AEC" w:rsidRPr="0071011D">
        <w:rPr>
          <w:sz w:val="24"/>
          <w:szCs w:val="24"/>
          <w:lang w:val="en-US"/>
        </w:rPr>
        <w:t>000 dwellings units and 70,000 m</w:t>
      </w:r>
      <w:r w:rsidR="00242AEC" w:rsidRPr="00671005">
        <w:rPr>
          <w:sz w:val="24"/>
          <w:szCs w:val="24"/>
          <w:vertAlign w:val="superscript"/>
          <w:lang w:val="en-US"/>
        </w:rPr>
        <w:t>2</w:t>
      </w:r>
      <w:r w:rsidR="00242AEC" w:rsidRPr="0071011D">
        <w:rPr>
          <w:sz w:val="24"/>
          <w:szCs w:val="24"/>
          <w:lang w:val="en-US"/>
        </w:rPr>
        <w:t xml:space="preserve"> of commercial floor</w:t>
      </w:r>
      <w:r w:rsidR="00242AEC">
        <w:rPr>
          <w:sz w:val="24"/>
          <w:szCs w:val="24"/>
          <w:lang w:val="en-US"/>
        </w:rPr>
        <w:t xml:space="preserve"> </w:t>
      </w:r>
      <w:r w:rsidR="00242AEC" w:rsidRPr="0071011D">
        <w:rPr>
          <w:sz w:val="24"/>
          <w:szCs w:val="24"/>
          <w:lang w:val="en-US"/>
        </w:rPr>
        <w:t>space developed by 2005</w:t>
      </w:r>
      <w:r w:rsidR="00242AEC">
        <w:rPr>
          <w:sz w:val="24"/>
          <w:szCs w:val="24"/>
          <w:lang w:val="en-US"/>
        </w:rPr>
        <w:t xml:space="preserve"> (Howe, Glass and Curtis, 2009)</w:t>
      </w:r>
      <w:r w:rsidR="00913981">
        <w:rPr>
          <w:sz w:val="24"/>
          <w:szCs w:val="24"/>
        </w:rPr>
        <w:t>.</w:t>
      </w:r>
      <w:r w:rsidR="00CC1423" w:rsidRPr="00CC1423">
        <w:rPr>
          <w:sz w:val="24"/>
          <w:szCs w:val="24"/>
        </w:rPr>
        <w:t xml:space="preserve"> </w:t>
      </w:r>
      <w:r>
        <w:rPr>
          <w:sz w:val="24"/>
          <w:szCs w:val="24"/>
        </w:rPr>
        <w:t xml:space="preserve"> As an alternative to the RDA model WA has also employed a public sector developer to lead development change</w:t>
      </w:r>
      <w:r w:rsidR="0032167D">
        <w:rPr>
          <w:sz w:val="24"/>
          <w:szCs w:val="24"/>
        </w:rPr>
        <w:t xml:space="preserve"> in two precincts </w:t>
      </w:r>
      <w:r w:rsidR="00E53C16">
        <w:rPr>
          <w:sz w:val="24"/>
          <w:szCs w:val="24"/>
        </w:rPr>
        <w:t xml:space="preserve">- </w:t>
      </w:r>
      <w:r w:rsidR="00E53C16" w:rsidRPr="0071011D">
        <w:rPr>
          <w:sz w:val="24"/>
          <w:szCs w:val="24"/>
          <w:lang w:val="en-US"/>
        </w:rPr>
        <w:t>North Fremantle and Cockburn</w:t>
      </w:r>
      <w:r w:rsidR="00E53C16">
        <w:rPr>
          <w:sz w:val="24"/>
          <w:szCs w:val="24"/>
          <w:lang w:val="en-US"/>
        </w:rPr>
        <w:t xml:space="preserve"> </w:t>
      </w:r>
      <w:r w:rsidR="00E53C16">
        <w:rPr>
          <w:sz w:val="24"/>
          <w:szCs w:val="24"/>
        </w:rPr>
        <w:t>(Photograph 2)</w:t>
      </w:r>
      <w:r w:rsidR="00E53C16" w:rsidRPr="0071011D">
        <w:rPr>
          <w:sz w:val="24"/>
          <w:szCs w:val="24"/>
          <w:lang w:val="en-US"/>
        </w:rPr>
        <w:t>: at the former site</w:t>
      </w:r>
      <w:r w:rsidR="009A7B7E">
        <w:rPr>
          <w:sz w:val="24"/>
          <w:szCs w:val="24"/>
          <w:lang w:val="en-US"/>
        </w:rPr>
        <w:t>,</w:t>
      </w:r>
      <w:r w:rsidR="00E53C16" w:rsidRPr="0071011D">
        <w:rPr>
          <w:sz w:val="24"/>
          <w:szCs w:val="24"/>
          <w:lang w:val="en-US"/>
        </w:rPr>
        <w:t xml:space="preserve"> 4 ha of land is being redeveloped for 500 apartments housing 1</w:t>
      </w:r>
      <w:r w:rsidR="00E53C16">
        <w:rPr>
          <w:sz w:val="24"/>
          <w:szCs w:val="24"/>
          <w:lang w:val="en-US"/>
        </w:rPr>
        <w:t>,</w:t>
      </w:r>
      <w:r w:rsidR="00E53C16" w:rsidRPr="0071011D">
        <w:rPr>
          <w:sz w:val="24"/>
          <w:szCs w:val="24"/>
          <w:lang w:val="en-US"/>
        </w:rPr>
        <w:t xml:space="preserve">000 residents, </w:t>
      </w:r>
      <w:r w:rsidR="009A7B7E">
        <w:rPr>
          <w:sz w:val="24"/>
          <w:szCs w:val="24"/>
          <w:lang w:val="en-US"/>
        </w:rPr>
        <w:t>and at</w:t>
      </w:r>
      <w:r w:rsidR="00E53C16" w:rsidRPr="0071011D">
        <w:rPr>
          <w:sz w:val="24"/>
          <w:szCs w:val="24"/>
          <w:lang w:val="en-US"/>
        </w:rPr>
        <w:t xml:space="preserve"> the latter</w:t>
      </w:r>
      <w:r w:rsidR="009A7B7E">
        <w:rPr>
          <w:sz w:val="24"/>
          <w:szCs w:val="24"/>
          <w:lang w:val="en-US"/>
        </w:rPr>
        <w:t>,</w:t>
      </w:r>
      <w:r w:rsidR="00E53C16" w:rsidRPr="0071011D">
        <w:rPr>
          <w:sz w:val="24"/>
          <w:szCs w:val="24"/>
          <w:lang w:val="en-US"/>
        </w:rPr>
        <w:t xml:space="preserve"> 12 ha of land is being developed for 1</w:t>
      </w:r>
      <w:r w:rsidR="00E53C16">
        <w:rPr>
          <w:sz w:val="24"/>
          <w:szCs w:val="24"/>
          <w:lang w:val="en-US"/>
        </w:rPr>
        <w:t>,</w:t>
      </w:r>
      <w:r w:rsidR="00E53C16" w:rsidRPr="0071011D">
        <w:rPr>
          <w:sz w:val="24"/>
          <w:szCs w:val="24"/>
          <w:lang w:val="en-US"/>
        </w:rPr>
        <w:t xml:space="preserve">000 dwelling units and civic uses (Mouritz and Ainsworth, 2009). </w:t>
      </w:r>
      <w:r w:rsidR="00E53C16">
        <w:rPr>
          <w:sz w:val="24"/>
          <w:szCs w:val="24"/>
        </w:rPr>
        <w:t>D</w:t>
      </w:r>
      <w:r w:rsidR="0032167D">
        <w:rPr>
          <w:sz w:val="24"/>
          <w:szCs w:val="24"/>
        </w:rPr>
        <w:t>evelopment had only just commenced at the time of the audit</w:t>
      </w:r>
      <w:r w:rsidR="00E53C16">
        <w:rPr>
          <w:sz w:val="24"/>
          <w:szCs w:val="24"/>
        </w:rPr>
        <w:t>.</w:t>
      </w:r>
      <w:r>
        <w:rPr>
          <w:sz w:val="24"/>
          <w:szCs w:val="24"/>
        </w:rPr>
        <w:t xml:space="preserve"> </w:t>
      </w:r>
    </w:p>
    <w:p w:rsidR="001A22DC" w:rsidRDefault="001A22DC" w:rsidP="00920C5E">
      <w:pPr>
        <w:jc w:val="both"/>
        <w:rPr>
          <w:b/>
          <w:sz w:val="24"/>
          <w:szCs w:val="24"/>
        </w:rPr>
      </w:pPr>
      <w:r w:rsidRPr="001A22DC">
        <w:rPr>
          <w:b/>
          <w:i/>
          <w:sz w:val="24"/>
          <w:szCs w:val="24"/>
        </w:rPr>
        <w:t>Insert Photograph 1 here</w:t>
      </w:r>
    </w:p>
    <w:p w:rsidR="001A22DC" w:rsidRPr="001A22DC" w:rsidRDefault="001A22DC" w:rsidP="001A22DC">
      <w:pPr>
        <w:jc w:val="both"/>
        <w:rPr>
          <w:b/>
          <w:sz w:val="24"/>
          <w:szCs w:val="24"/>
        </w:rPr>
      </w:pPr>
      <w:r>
        <w:rPr>
          <w:b/>
          <w:i/>
          <w:sz w:val="24"/>
          <w:szCs w:val="24"/>
        </w:rPr>
        <w:lastRenderedPageBreak/>
        <w:t>Insert Photograph 2</w:t>
      </w:r>
      <w:r w:rsidRPr="001A22DC">
        <w:rPr>
          <w:b/>
          <w:i/>
          <w:sz w:val="24"/>
          <w:szCs w:val="24"/>
        </w:rPr>
        <w:t xml:space="preserve"> here</w:t>
      </w:r>
    </w:p>
    <w:p w:rsidR="00920C5E" w:rsidRDefault="00B018D7" w:rsidP="00920C5E">
      <w:pPr>
        <w:jc w:val="both"/>
        <w:rPr>
          <w:sz w:val="24"/>
          <w:szCs w:val="24"/>
        </w:rPr>
      </w:pPr>
      <w:r>
        <w:rPr>
          <w:sz w:val="24"/>
          <w:szCs w:val="24"/>
        </w:rPr>
        <w:t xml:space="preserve">How effective has </w:t>
      </w:r>
      <w:r w:rsidR="00982870">
        <w:rPr>
          <w:sz w:val="24"/>
          <w:szCs w:val="24"/>
        </w:rPr>
        <w:t xml:space="preserve">the implementation of TOD policy </w:t>
      </w:r>
      <w:r>
        <w:rPr>
          <w:sz w:val="24"/>
          <w:szCs w:val="24"/>
        </w:rPr>
        <w:t xml:space="preserve">been </w:t>
      </w:r>
      <w:r w:rsidR="00982870">
        <w:rPr>
          <w:sz w:val="24"/>
          <w:szCs w:val="24"/>
        </w:rPr>
        <w:t xml:space="preserve">where </w:t>
      </w:r>
      <w:r w:rsidR="006B78AD">
        <w:rPr>
          <w:sz w:val="24"/>
          <w:szCs w:val="24"/>
        </w:rPr>
        <w:t>new railways</w:t>
      </w:r>
      <w:r w:rsidR="00982870">
        <w:rPr>
          <w:sz w:val="24"/>
          <w:szCs w:val="24"/>
        </w:rPr>
        <w:t xml:space="preserve"> </w:t>
      </w:r>
      <w:r>
        <w:rPr>
          <w:sz w:val="24"/>
          <w:szCs w:val="24"/>
        </w:rPr>
        <w:t>have</w:t>
      </w:r>
      <w:r w:rsidR="00982870">
        <w:rPr>
          <w:sz w:val="24"/>
          <w:szCs w:val="24"/>
        </w:rPr>
        <w:t xml:space="preserve"> opened </w:t>
      </w:r>
      <w:r>
        <w:rPr>
          <w:sz w:val="24"/>
          <w:szCs w:val="24"/>
        </w:rPr>
        <w:t>in Perth?</w:t>
      </w:r>
      <w:r w:rsidR="00982870">
        <w:rPr>
          <w:sz w:val="24"/>
          <w:szCs w:val="24"/>
        </w:rPr>
        <w:t xml:space="preserve"> </w:t>
      </w:r>
      <w:r w:rsidR="00204C7D">
        <w:rPr>
          <w:sz w:val="24"/>
          <w:szCs w:val="24"/>
        </w:rPr>
        <w:t xml:space="preserve">This provides a measure of implementation performance considering the relationship with stakeholders, in this case the transport agency. </w:t>
      </w:r>
      <w:r w:rsidR="00CC1423">
        <w:rPr>
          <w:sz w:val="24"/>
          <w:szCs w:val="24"/>
        </w:rPr>
        <w:t>A</w:t>
      </w:r>
      <w:r w:rsidR="008B5C17">
        <w:rPr>
          <w:sz w:val="24"/>
          <w:szCs w:val="24"/>
        </w:rPr>
        <w:t xml:space="preserve"> </w:t>
      </w:r>
      <w:r w:rsidR="00CC1423">
        <w:rPr>
          <w:sz w:val="24"/>
          <w:szCs w:val="24"/>
        </w:rPr>
        <w:t>disappointing</w:t>
      </w:r>
      <w:r w:rsidR="008B5C17">
        <w:rPr>
          <w:sz w:val="24"/>
          <w:szCs w:val="24"/>
        </w:rPr>
        <w:t xml:space="preserve"> picture emerges</w:t>
      </w:r>
      <w:r w:rsidR="00264BAB">
        <w:rPr>
          <w:sz w:val="24"/>
          <w:szCs w:val="24"/>
        </w:rPr>
        <w:t xml:space="preserve"> (Figure </w:t>
      </w:r>
      <w:r>
        <w:rPr>
          <w:sz w:val="24"/>
          <w:szCs w:val="24"/>
        </w:rPr>
        <w:t>3</w:t>
      </w:r>
      <w:r w:rsidR="00CC1423">
        <w:rPr>
          <w:sz w:val="24"/>
          <w:szCs w:val="24"/>
        </w:rPr>
        <w:t>)</w:t>
      </w:r>
      <w:r w:rsidR="008B5C17">
        <w:rPr>
          <w:sz w:val="24"/>
          <w:szCs w:val="24"/>
        </w:rPr>
        <w:t xml:space="preserve">. </w:t>
      </w:r>
      <w:r>
        <w:rPr>
          <w:sz w:val="24"/>
          <w:szCs w:val="24"/>
        </w:rPr>
        <w:t>Eight stations on</w:t>
      </w:r>
      <w:r w:rsidR="008B5C17">
        <w:rPr>
          <w:sz w:val="24"/>
          <w:szCs w:val="24"/>
        </w:rPr>
        <w:t xml:space="preserve"> northern suburbs railway opened in 1993 are governed by two different </w:t>
      </w:r>
      <w:r>
        <w:rPr>
          <w:sz w:val="24"/>
          <w:szCs w:val="24"/>
        </w:rPr>
        <w:t>TPS: o</w:t>
      </w:r>
      <w:r w:rsidR="008B5C17">
        <w:rPr>
          <w:sz w:val="24"/>
          <w:szCs w:val="24"/>
        </w:rPr>
        <w:t>ne was gazetted eight years before the railway opened (and prior to the first State TOD policy) yet net densities conform</w:t>
      </w:r>
      <w:r>
        <w:rPr>
          <w:sz w:val="24"/>
          <w:szCs w:val="24"/>
        </w:rPr>
        <w:t>; in t</w:t>
      </w:r>
      <w:r w:rsidR="008B5C17">
        <w:rPr>
          <w:sz w:val="24"/>
          <w:szCs w:val="24"/>
        </w:rPr>
        <w:t xml:space="preserve">he other </w:t>
      </w:r>
      <w:r>
        <w:rPr>
          <w:sz w:val="24"/>
          <w:szCs w:val="24"/>
        </w:rPr>
        <w:t xml:space="preserve">TPS, gazetted after the 2005 State TOD policy, </w:t>
      </w:r>
      <w:r w:rsidR="001D5F1B">
        <w:rPr>
          <w:sz w:val="24"/>
          <w:szCs w:val="24"/>
        </w:rPr>
        <w:t>only one</w:t>
      </w:r>
      <w:r w:rsidR="008B5C17">
        <w:rPr>
          <w:sz w:val="24"/>
          <w:szCs w:val="24"/>
        </w:rPr>
        <w:t xml:space="preserve"> of the station precincts</w:t>
      </w:r>
      <w:r w:rsidR="00204C7D">
        <w:rPr>
          <w:sz w:val="24"/>
          <w:szCs w:val="24"/>
        </w:rPr>
        <w:t xml:space="preserve"> conforms</w:t>
      </w:r>
      <w:r w:rsidR="008B5C17">
        <w:rPr>
          <w:sz w:val="24"/>
          <w:szCs w:val="24"/>
        </w:rPr>
        <w:t xml:space="preserve">.  </w:t>
      </w:r>
      <w:r>
        <w:rPr>
          <w:sz w:val="24"/>
          <w:szCs w:val="24"/>
        </w:rPr>
        <w:t>F</w:t>
      </w:r>
      <w:r w:rsidR="00362564">
        <w:rPr>
          <w:sz w:val="24"/>
          <w:szCs w:val="24"/>
        </w:rPr>
        <w:t>or the other new railway lines</w:t>
      </w:r>
      <w:r>
        <w:rPr>
          <w:sz w:val="24"/>
          <w:szCs w:val="24"/>
        </w:rPr>
        <w:t>,</w:t>
      </w:r>
      <w:r w:rsidR="00362564">
        <w:rPr>
          <w:sz w:val="24"/>
          <w:szCs w:val="24"/>
        </w:rPr>
        <w:t xml:space="preserve"> no forward </w:t>
      </w:r>
      <w:r w:rsidR="00204C7D">
        <w:rPr>
          <w:sz w:val="24"/>
          <w:szCs w:val="24"/>
        </w:rPr>
        <w:t xml:space="preserve">land use </w:t>
      </w:r>
      <w:r w:rsidR="00362564">
        <w:rPr>
          <w:sz w:val="24"/>
          <w:szCs w:val="24"/>
        </w:rPr>
        <w:t xml:space="preserve">planning has taken place with the exception of one station precinct (Canning Bridge).  </w:t>
      </w:r>
      <w:r>
        <w:rPr>
          <w:sz w:val="24"/>
          <w:szCs w:val="24"/>
        </w:rPr>
        <w:t xml:space="preserve">Given the level of investment required to build new infrastructure </w:t>
      </w:r>
      <w:r w:rsidR="00204C7D">
        <w:rPr>
          <w:sz w:val="24"/>
          <w:szCs w:val="24"/>
        </w:rPr>
        <w:t>and the long lead times for transport infrastructure planning, timely land use</w:t>
      </w:r>
      <w:r>
        <w:rPr>
          <w:sz w:val="24"/>
          <w:szCs w:val="24"/>
        </w:rPr>
        <w:t xml:space="preserve"> </w:t>
      </w:r>
      <w:r w:rsidR="00204C7D">
        <w:rPr>
          <w:sz w:val="24"/>
          <w:szCs w:val="24"/>
        </w:rPr>
        <w:t>planning has not occurred and the infrastructure has not been c</w:t>
      </w:r>
      <w:r>
        <w:rPr>
          <w:sz w:val="24"/>
          <w:szCs w:val="24"/>
        </w:rPr>
        <w:t>apitalise</w:t>
      </w:r>
      <w:r w:rsidR="00204C7D">
        <w:rPr>
          <w:sz w:val="24"/>
          <w:szCs w:val="24"/>
        </w:rPr>
        <w:t>d on in this way</w:t>
      </w:r>
      <w:r>
        <w:rPr>
          <w:sz w:val="24"/>
          <w:szCs w:val="24"/>
        </w:rPr>
        <w:t>.</w:t>
      </w:r>
    </w:p>
    <w:p w:rsidR="001D5F1B" w:rsidRDefault="001D5F1B" w:rsidP="00920C5E">
      <w:pPr>
        <w:jc w:val="both"/>
        <w:rPr>
          <w:sz w:val="24"/>
          <w:szCs w:val="24"/>
        </w:rPr>
      </w:pPr>
      <w:r w:rsidRPr="001D5F1B">
        <w:rPr>
          <w:noProof/>
          <w:sz w:val="24"/>
          <w:szCs w:val="24"/>
          <w:lang w:eastAsia="en-AU"/>
        </w:rPr>
        <w:drawing>
          <wp:inline distT="0" distB="0" distL="0" distR="0">
            <wp:extent cx="4138613" cy="2521744"/>
            <wp:effectExtent l="0" t="0" r="14605" b="12065"/>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0C5E" w:rsidRPr="00C03897" w:rsidRDefault="00204C7D" w:rsidP="00920C5E">
      <w:pPr>
        <w:jc w:val="both"/>
        <w:rPr>
          <w:b/>
          <w:sz w:val="24"/>
          <w:szCs w:val="24"/>
        </w:rPr>
      </w:pPr>
      <w:r>
        <w:rPr>
          <w:sz w:val="24"/>
          <w:szCs w:val="24"/>
        </w:rPr>
        <w:t xml:space="preserve">Assessing implementation of the mixed use requirements of State TOD policy is not possible. </w:t>
      </w:r>
      <w:r w:rsidR="00920C5E" w:rsidRPr="00DC2712">
        <w:rPr>
          <w:sz w:val="24"/>
          <w:szCs w:val="24"/>
        </w:rPr>
        <w:t>There is no density equivalent for land zoned for employment purposes</w:t>
      </w:r>
      <w:r>
        <w:rPr>
          <w:sz w:val="24"/>
          <w:szCs w:val="24"/>
        </w:rPr>
        <w:t>. This</w:t>
      </w:r>
      <w:r w:rsidR="00920C5E" w:rsidRPr="00DC2712">
        <w:rPr>
          <w:sz w:val="24"/>
          <w:szCs w:val="24"/>
        </w:rPr>
        <w:t xml:space="preserve"> has implications for the way in which local government may implement high intensity employment in station precincts</w:t>
      </w:r>
      <w:r w:rsidR="009B4191">
        <w:rPr>
          <w:sz w:val="24"/>
          <w:szCs w:val="24"/>
        </w:rPr>
        <w:t xml:space="preserve"> and for the ability of State government to monitor conformance to its policy</w:t>
      </w:r>
      <w:r w:rsidR="00920C5E" w:rsidRPr="00DC2712">
        <w:rPr>
          <w:sz w:val="24"/>
          <w:szCs w:val="24"/>
        </w:rPr>
        <w:t>.</w:t>
      </w:r>
      <w:r w:rsidR="00C03897">
        <w:rPr>
          <w:sz w:val="24"/>
          <w:szCs w:val="24"/>
        </w:rPr>
        <w:t xml:space="preserve"> </w:t>
      </w:r>
      <w:r>
        <w:rPr>
          <w:sz w:val="24"/>
          <w:szCs w:val="24"/>
        </w:rPr>
        <w:t>A</w:t>
      </w:r>
      <w:r w:rsidR="00A61E62">
        <w:rPr>
          <w:sz w:val="24"/>
          <w:szCs w:val="24"/>
        </w:rPr>
        <w:t xml:space="preserve"> study of non-residential land use change at three new station precincts sited on the new southern suburbs railway </w:t>
      </w:r>
      <w:r>
        <w:rPr>
          <w:sz w:val="24"/>
          <w:szCs w:val="24"/>
        </w:rPr>
        <w:t>found</w:t>
      </w:r>
      <w:r w:rsidR="00A61E62">
        <w:rPr>
          <w:sz w:val="24"/>
          <w:szCs w:val="24"/>
        </w:rPr>
        <w:t xml:space="preserve"> that not all non-residential land uses were compatible with TOD principles</w:t>
      </w:r>
      <w:r>
        <w:rPr>
          <w:sz w:val="24"/>
          <w:szCs w:val="24"/>
        </w:rPr>
        <w:t>,</w:t>
      </w:r>
      <w:r w:rsidR="00A61E62">
        <w:rPr>
          <w:sz w:val="24"/>
          <w:szCs w:val="24"/>
        </w:rPr>
        <w:t xml:space="preserve"> and comprised uses </w:t>
      </w:r>
      <w:r w:rsidR="009B4191">
        <w:rPr>
          <w:sz w:val="24"/>
          <w:szCs w:val="24"/>
        </w:rPr>
        <w:t>with</w:t>
      </w:r>
      <w:r w:rsidR="00A61E62">
        <w:rPr>
          <w:sz w:val="24"/>
          <w:szCs w:val="24"/>
        </w:rPr>
        <w:t xml:space="preserve"> five or fewer employees</w:t>
      </w:r>
      <w:r w:rsidRPr="00204C7D">
        <w:rPr>
          <w:sz w:val="24"/>
          <w:szCs w:val="24"/>
        </w:rPr>
        <w:t xml:space="preserve"> </w:t>
      </w:r>
      <w:r>
        <w:rPr>
          <w:sz w:val="24"/>
          <w:szCs w:val="24"/>
        </w:rPr>
        <w:t>(Curtis and Mellor, 2011)</w:t>
      </w:r>
      <w:r w:rsidR="00A61E62">
        <w:rPr>
          <w:sz w:val="24"/>
          <w:szCs w:val="24"/>
        </w:rPr>
        <w:t xml:space="preserve">. </w:t>
      </w:r>
      <w:r>
        <w:rPr>
          <w:sz w:val="24"/>
          <w:szCs w:val="24"/>
        </w:rPr>
        <w:t>The study</w:t>
      </w:r>
      <w:r w:rsidR="00A61E62">
        <w:rPr>
          <w:sz w:val="24"/>
          <w:szCs w:val="24"/>
        </w:rPr>
        <w:t xml:space="preserve"> also </w:t>
      </w:r>
      <w:r>
        <w:rPr>
          <w:sz w:val="24"/>
          <w:szCs w:val="24"/>
        </w:rPr>
        <w:t>found</w:t>
      </w:r>
      <w:r w:rsidR="00A61E62">
        <w:rPr>
          <w:sz w:val="24"/>
          <w:szCs w:val="24"/>
        </w:rPr>
        <w:t xml:space="preserve"> that, despite town planners being fully aware of the new railway proposal, </w:t>
      </w:r>
      <w:r w:rsidR="009B4191">
        <w:rPr>
          <w:sz w:val="24"/>
          <w:szCs w:val="24"/>
        </w:rPr>
        <w:t>the TPS</w:t>
      </w:r>
      <w:r w:rsidR="00A61E62">
        <w:rPr>
          <w:sz w:val="24"/>
          <w:szCs w:val="24"/>
        </w:rPr>
        <w:t xml:space="preserve"> </w:t>
      </w:r>
      <w:r w:rsidR="009B4191">
        <w:rPr>
          <w:sz w:val="24"/>
          <w:szCs w:val="24"/>
        </w:rPr>
        <w:t>did little</w:t>
      </w:r>
      <w:r w:rsidR="00A61E62">
        <w:rPr>
          <w:sz w:val="24"/>
          <w:szCs w:val="24"/>
        </w:rPr>
        <w:t xml:space="preserve"> to facilitate appropriate non-residential development.</w:t>
      </w:r>
    </w:p>
    <w:p w:rsidR="00E563CA" w:rsidRPr="00E563CA" w:rsidRDefault="00E563CA">
      <w:pPr>
        <w:rPr>
          <w:b/>
          <w:i/>
          <w:sz w:val="24"/>
          <w:szCs w:val="24"/>
        </w:rPr>
      </w:pPr>
      <w:r>
        <w:rPr>
          <w:b/>
          <w:i/>
          <w:sz w:val="24"/>
          <w:szCs w:val="24"/>
        </w:rPr>
        <w:t xml:space="preserve">Implementation: </w:t>
      </w:r>
      <w:r w:rsidR="009224A8">
        <w:rPr>
          <w:b/>
          <w:i/>
          <w:sz w:val="24"/>
          <w:szCs w:val="24"/>
        </w:rPr>
        <w:t>On ground development change</w:t>
      </w:r>
    </w:p>
    <w:p w:rsidR="00172D22" w:rsidRDefault="00AA1B26" w:rsidP="00931EAA">
      <w:pPr>
        <w:jc w:val="both"/>
        <w:rPr>
          <w:sz w:val="24"/>
          <w:szCs w:val="24"/>
        </w:rPr>
      </w:pPr>
      <w:r>
        <w:rPr>
          <w:sz w:val="24"/>
          <w:szCs w:val="24"/>
        </w:rPr>
        <w:t>There is</w:t>
      </w:r>
      <w:r w:rsidR="003B6432">
        <w:rPr>
          <w:sz w:val="24"/>
          <w:szCs w:val="24"/>
        </w:rPr>
        <w:t xml:space="preserve"> some evidence of translation </w:t>
      </w:r>
      <w:r>
        <w:rPr>
          <w:sz w:val="24"/>
          <w:szCs w:val="24"/>
        </w:rPr>
        <w:t xml:space="preserve">of the 20-year State TOD policy </w:t>
      </w:r>
      <w:r w:rsidR="003B6432">
        <w:rPr>
          <w:sz w:val="24"/>
          <w:szCs w:val="24"/>
        </w:rPr>
        <w:t>into local TPS</w:t>
      </w:r>
      <w:r>
        <w:rPr>
          <w:sz w:val="24"/>
          <w:szCs w:val="24"/>
        </w:rPr>
        <w:t>. T</w:t>
      </w:r>
      <w:r w:rsidR="003B6432">
        <w:rPr>
          <w:sz w:val="24"/>
          <w:szCs w:val="24"/>
        </w:rPr>
        <w:t>he second stage of this research assesses the extent of</w:t>
      </w:r>
      <w:r w:rsidR="003E5732" w:rsidRPr="003E5732">
        <w:rPr>
          <w:sz w:val="24"/>
          <w:szCs w:val="24"/>
        </w:rPr>
        <w:t xml:space="preserve"> development change on the ground</w:t>
      </w:r>
      <w:r w:rsidR="003B6432">
        <w:rPr>
          <w:sz w:val="24"/>
          <w:szCs w:val="24"/>
        </w:rPr>
        <w:t>. Th</w:t>
      </w:r>
      <w:r w:rsidR="003E5732">
        <w:rPr>
          <w:sz w:val="24"/>
          <w:szCs w:val="24"/>
        </w:rPr>
        <w:t xml:space="preserve">ere is on average an eight </w:t>
      </w:r>
      <w:r w:rsidR="00931EAA">
        <w:rPr>
          <w:sz w:val="24"/>
          <w:szCs w:val="24"/>
        </w:rPr>
        <w:t xml:space="preserve">to ten </w:t>
      </w:r>
      <w:r w:rsidR="003E5732">
        <w:rPr>
          <w:sz w:val="24"/>
          <w:szCs w:val="24"/>
        </w:rPr>
        <w:t>year lead time between policy development and development completion</w:t>
      </w:r>
      <w:r w:rsidR="006601C0">
        <w:rPr>
          <w:rStyle w:val="FootnoteReference"/>
          <w:sz w:val="24"/>
          <w:szCs w:val="24"/>
        </w:rPr>
        <w:footnoteReference w:id="3"/>
      </w:r>
      <w:r w:rsidR="003E5732" w:rsidRPr="003E5732">
        <w:rPr>
          <w:sz w:val="24"/>
          <w:szCs w:val="24"/>
        </w:rPr>
        <w:t xml:space="preserve">.  </w:t>
      </w:r>
      <w:r w:rsidR="003E5732">
        <w:rPr>
          <w:sz w:val="24"/>
          <w:szCs w:val="24"/>
        </w:rPr>
        <w:t>A</w:t>
      </w:r>
      <w:r w:rsidR="003E5732" w:rsidRPr="003E5732">
        <w:rPr>
          <w:sz w:val="24"/>
          <w:szCs w:val="24"/>
        </w:rPr>
        <w:t>n analysis of the station</w:t>
      </w:r>
      <w:r w:rsidR="00931EAA">
        <w:rPr>
          <w:sz w:val="24"/>
          <w:szCs w:val="24"/>
        </w:rPr>
        <w:t xml:space="preserve"> precincts</w:t>
      </w:r>
      <w:r w:rsidR="003E5732" w:rsidRPr="003E5732">
        <w:rPr>
          <w:sz w:val="24"/>
          <w:szCs w:val="24"/>
        </w:rPr>
        <w:t xml:space="preserve"> </w:t>
      </w:r>
      <w:r w:rsidR="003E5732">
        <w:rPr>
          <w:sz w:val="24"/>
          <w:szCs w:val="24"/>
        </w:rPr>
        <w:t>provides a snapshot of development</w:t>
      </w:r>
      <w:r w:rsidR="00264BAB">
        <w:rPr>
          <w:sz w:val="24"/>
          <w:szCs w:val="24"/>
        </w:rPr>
        <w:t xml:space="preserve"> in 2007</w:t>
      </w:r>
      <w:r w:rsidR="003E5732">
        <w:rPr>
          <w:sz w:val="24"/>
          <w:szCs w:val="24"/>
        </w:rPr>
        <w:t xml:space="preserve"> </w:t>
      </w:r>
      <w:r w:rsidR="00C3356E">
        <w:rPr>
          <w:sz w:val="24"/>
          <w:szCs w:val="24"/>
        </w:rPr>
        <w:t xml:space="preserve">(Figures 4a and </w:t>
      </w:r>
      <w:r w:rsidR="00C3356E">
        <w:rPr>
          <w:sz w:val="24"/>
          <w:szCs w:val="24"/>
        </w:rPr>
        <w:lastRenderedPageBreak/>
        <w:t xml:space="preserve">4b) </w:t>
      </w:r>
      <w:r w:rsidR="003E5732" w:rsidRPr="003E5732">
        <w:rPr>
          <w:sz w:val="24"/>
          <w:szCs w:val="24"/>
        </w:rPr>
        <w:t xml:space="preserve">using </w:t>
      </w:r>
      <w:r w:rsidR="003E5732" w:rsidRPr="00931EAA">
        <w:rPr>
          <w:sz w:val="24"/>
          <w:szCs w:val="24"/>
        </w:rPr>
        <w:t>data for land use within precincts and census data for population and employment from the Australian Bureau for Statistics 2001.</w:t>
      </w:r>
      <w:r w:rsidR="00C3356E">
        <w:rPr>
          <w:sz w:val="24"/>
          <w:szCs w:val="24"/>
        </w:rPr>
        <w:t xml:space="preserve"> </w:t>
      </w:r>
      <w:r w:rsidR="00264BAB">
        <w:rPr>
          <w:sz w:val="24"/>
          <w:szCs w:val="24"/>
        </w:rPr>
        <w:t xml:space="preserve">The size of the pie (800 metre potential walking catchment) is shown to scale in order to demonstrate </w:t>
      </w:r>
      <w:r w:rsidR="00172D22">
        <w:rPr>
          <w:sz w:val="24"/>
          <w:szCs w:val="24"/>
        </w:rPr>
        <w:t xml:space="preserve">the potential impact all stations could have in providing a walk-on patronage as envisaged by the TOD concept.  </w:t>
      </w:r>
      <w:r w:rsidR="00C3356E">
        <w:rPr>
          <w:sz w:val="24"/>
          <w:szCs w:val="24"/>
        </w:rPr>
        <w:t>L</w:t>
      </w:r>
      <w:r w:rsidR="00172D22">
        <w:rPr>
          <w:sz w:val="24"/>
          <w:szCs w:val="24"/>
        </w:rPr>
        <w:t xml:space="preserve">arge parts of the metropolitan area are beyond walking distance of a railway station.  </w:t>
      </w:r>
      <w:r w:rsidR="00C3356E">
        <w:rPr>
          <w:sz w:val="24"/>
          <w:szCs w:val="24"/>
        </w:rPr>
        <w:t>I</w:t>
      </w:r>
      <w:r w:rsidR="00172D22">
        <w:rPr>
          <w:sz w:val="24"/>
          <w:szCs w:val="24"/>
        </w:rPr>
        <w:t>t is particularly important</w:t>
      </w:r>
      <w:r w:rsidR="00C3356E">
        <w:rPr>
          <w:sz w:val="24"/>
          <w:szCs w:val="24"/>
        </w:rPr>
        <w:t>, therefore,</w:t>
      </w:r>
      <w:r w:rsidR="00172D22">
        <w:rPr>
          <w:sz w:val="24"/>
          <w:szCs w:val="24"/>
        </w:rPr>
        <w:t xml:space="preserve"> to maximise the land use intensity and mix around each station precinct</w:t>
      </w:r>
      <w:r w:rsidR="00C3356E">
        <w:rPr>
          <w:sz w:val="24"/>
          <w:szCs w:val="24"/>
        </w:rPr>
        <w:t xml:space="preserve"> both to </w:t>
      </w:r>
      <w:r w:rsidR="00172D22">
        <w:rPr>
          <w:sz w:val="24"/>
          <w:szCs w:val="24"/>
        </w:rPr>
        <w:t xml:space="preserve">maximise the access opportunities </w:t>
      </w:r>
      <w:r w:rsidR="00C3356E">
        <w:rPr>
          <w:sz w:val="24"/>
          <w:szCs w:val="24"/>
        </w:rPr>
        <w:t>for</w:t>
      </w:r>
      <w:r w:rsidR="00172D22">
        <w:rPr>
          <w:sz w:val="24"/>
          <w:szCs w:val="24"/>
        </w:rPr>
        <w:t xml:space="preserve"> residents and employees </w:t>
      </w:r>
      <w:r w:rsidR="00C3356E">
        <w:rPr>
          <w:sz w:val="24"/>
          <w:szCs w:val="24"/>
        </w:rPr>
        <w:t>and</w:t>
      </w:r>
      <w:r w:rsidR="00172D22">
        <w:rPr>
          <w:sz w:val="24"/>
          <w:szCs w:val="24"/>
        </w:rPr>
        <w:t xml:space="preserve"> to support public transport. </w:t>
      </w:r>
    </w:p>
    <w:p w:rsidR="002812F2" w:rsidRDefault="00172D22" w:rsidP="004310B2">
      <w:pPr>
        <w:jc w:val="both"/>
        <w:rPr>
          <w:sz w:val="24"/>
        </w:rPr>
      </w:pPr>
      <w:r>
        <w:rPr>
          <w:sz w:val="24"/>
          <w:szCs w:val="24"/>
        </w:rPr>
        <w:t xml:space="preserve">Within each station precinct land use is depicted </w:t>
      </w:r>
      <w:r w:rsidR="00C3356E">
        <w:rPr>
          <w:sz w:val="24"/>
          <w:szCs w:val="24"/>
        </w:rPr>
        <w:t>as</w:t>
      </w:r>
      <w:r>
        <w:rPr>
          <w:sz w:val="24"/>
          <w:szCs w:val="24"/>
        </w:rPr>
        <w:t xml:space="preserve"> the proportion of land for residential, employment and ‘other’ </w:t>
      </w:r>
      <w:r w:rsidR="00C3356E">
        <w:rPr>
          <w:sz w:val="24"/>
          <w:szCs w:val="24"/>
        </w:rPr>
        <w:t xml:space="preserve">uses </w:t>
      </w:r>
      <w:r>
        <w:rPr>
          <w:sz w:val="24"/>
          <w:szCs w:val="24"/>
        </w:rPr>
        <w:t xml:space="preserve">(public open space for example).  </w:t>
      </w:r>
      <w:r w:rsidR="00C3356E">
        <w:rPr>
          <w:sz w:val="24"/>
          <w:szCs w:val="24"/>
        </w:rPr>
        <w:t>U</w:t>
      </w:r>
      <w:r>
        <w:rPr>
          <w:sz w:val="24"/>
          <w:szCs w:val="24"/>
        </w:rPr>
        <w:t xml:space="preserve">p to </w:t>
      </w:r>
      <w:r w:rsidR="00100958">
        <w:rPr>
          <w:sz w:val="24"/>
          <w:szCs w:val="24"/>
        </w:rPr>
        <w:t xml:space="preserve">one third </w:t>
      </w:r>
      <w:r>
        <w:rPr>
          <w:sz w:val="24"/>
          <w:szCs w:val="24"/>
        </w:rPr>
        <w:t xml:space="preserve">of all precincts are underutilized from a development intensity perspective.  </w:t>
      </w:r>
      <w:r w:rsidR="00C3356E">
        <w:rPr>
          <w:sz w:val="24"/>
          <w:szCs w:val="24"/>
        </w:rPr>
        <w:t>T</w:t>
      </w:r>
      <w:r>
        <w:rPr>
          <w:sz w:val="24"/>
          <w:szCs w:val="24"/>
        </w:rPr>
        <w:t xml:space="preserve">he residential </w:t>
      </w:r>
      <w:r w:rsidR="00C3356E">
        <w:rPr>
          <w:sz w:val="24"/>
          <w:szCs w:val="24"/>
        </w:rPr>
        <w:t xml:space="preserve">net </w:t>
      </w:r>
      <w:r>
        <w:rPr>
          <w:sz w:val="24"/>
          <w:szCs w:val="24"/>
        </w:rPr>
        <w:t>density is indicated using three categories</w:t>
      </w:r>
      <w:r w:rsidR="00C3356E">
        <w:rPr>
          <w:sz w:val="24"/>
          <w:szCs w:val="24"/>
        </w:rPr>
        <w:t>:</w:t>
      </w:r>
      <w:r>
        <w:rPr>
          <w:sz w:val="24"/>
          <w:szCs w:val="24"/>
        </w:rPr>
        <w:t xml:space="preserve"> low </w:t>
      </w:r>
      <w:r w:rsidR="00C3356E">
        <w:rPr>
          <w:sz w:val="24"/>
          <w:szCs w:val="24"/>
        </w:rPr>
        <w:t>(</w:t>
      </w:r>
      <w:r>
        <w:rPr>
          <w:sz w:val="24"/>
          <w:szCs w:val="24"/>
        </w:rPr>
        <w:t>less than 10 dwellings per hectare</w:t>
      </w:r>
      <w:r w:rsidR="00C3356E">
        <w:rPr>
          <w:sz w:val="24"/>
          <w:szCs w:val="24"/>
        </w:rPr>
        <w:t>)</w:t>
      </w:r>
      <w:r>
        <w:rPr>
          <w:sz w:val="24"/>
          <w:szCs w:val="24"/>
        </w:rPr>
        <w:t xml:space="preserve">; medium </w:t>
      </w:r>
      <w:r w:rsidR="00C3356E">
        <w:rPr>
          <w:sz w:val="24"/>
          <w:szCs w:val="24"/>
        </w:rPr>
        <w:t>(</w:t>
      </w:r>
      <w:r>
        <w:rPr>
          <w:sz w:val="24"/>
          <w:szCs w:val="24"/>
        </w:rPr>
        <w:t>between 10 and 15 dwellings per hectare</w:t>
      </w:r>
      <w:r w:rsidR="00C3356E">
        <w:rPr>
          <w:sz w:val="24"/>
          <w:szCs w:val="24"/>
        </w:rPr>
        <w:t>); high</w:t>
      </w:r>
      <w:r>
        <w:rPr>
          <w:sz w:val="24"/>
          <w:szCs w:val="24"/>
        </w:rPr>
        <w:t xml:space="preserve"> </w:t>
      </w:r>
      <w:r w:rsidR="00C3356E">
        <w:rPr>
          <w:sz w:val="24"/>
          <w:szCs w:val="24"/>
        </w:rPr>
        <w:t>(</w:t>
      </w:r>
      <w:r>
        <w:rPr>
          <w:sz w:val="24"/>
          <w:szCs w:val="24"/>
        </w:rPr>
        <w:t xml:space="preserve">greater than 15 dwellings per hectare).  </w:t>
      </w:r>
      <w:r w:rsidR="00C3356E">
        <w:rPr>
          <w:sz w:val="24"/>
          <w:szCs w:val="24"/>
        </w:rPr>
        <w:t xml:space="preserve">This latter category, although low by European standards, </w:t>
      </w:r>
      <w:r w:rsidR="004310B2">
        <w:rPr>
          <w:sz w:val="24"/>
          <w:szCs w:val="24"/>
        </w:rPr>
        <w:t>represented the highest density levels attained outside the Perth Central area at that time</w:t>
      </w:r>
      <w:r w:rsidR="00C3356E">
        <w:rPr>
          <w:sz w:val="24"/>
          <w:szCs w:val="24"/>
        </w:rPr>
        <w:t>. I</w:t>
      </w:r>
      <w:r w:rsidR="004310B2">
        <w:rPr>
          <w:sz w:val="24"/>
          <w:szCs w:val="24"/>
        </w:rPr>
        <w:t xml:space="preserve">t falls short of the </w:t>
      </w:r>
      <w:r w:rsidR="004310B2" w:rsidRPr="004310B2">
        <w:rPr>
          <w:sz w:val="24"/>
          <w:szCs w:val="24"/>
        </w:rPr>
        <w:t xml:space="preserve">25 du/ha indicated in the </w:t>
      </w:r>
      <w:r w:rsidR="004310B2">
        <w:rPr>
          <w:sz w:val="24"/>
          <w:szCs w:val="24"/>
        </w:rPr>
        <w:t xml:space="preserve">2005 State TOD </w:t>
      </w:r>
      <w:r w:rsidR="004310B2" w:rsidRPr="004310B2">
        <w:rPr>
          <w:sz w:val="24"/>
          <w:szCs w:val="24"/>
        </w:rPr>
        <w:t>policy</w:t>
      </w:r>
      <w:r w:rsidR="004310B2">
        <w:rPr>
          <w:sz w:val="24"/>
          <w:szCs w:val="24"/>
        </w:rPr>
        <w:t>.</w:t>
      </w:r>
      <w:r w:rsidR="004310B2" w:rsidRPr="004310B2">
        <w:rPr>
          <w:sz w:val="24"/>
          <w:szCs w:val="24"/>
        </w:rPr>
        <w:t xml:space="preserve"> </w:t>
      </w:r>
      <w:r w:rsidR="00AA1B26">
        <w:rPr>
          <w:sz w:val="24"/>
          <w:szCs w:val="24"/>
        </w:rPr>
        <w:t xml:space="preserve">Of the seven precincts </w:t>
      </w:r>
      <w:r>
        <w:rPr>
          <w:sz w:val="24"/>
          <w:szCs w:val="24"/>
        </w:rPr>
        <w:t>developed at higher densities</w:t>
      </w:r>
      <w:r w:rsidR="00AA1B26">
        <w:rPr>
          <w:sz w:val="24"/>
          <w:szCs w:val="24"/>
        </w:rPr>
        <w:t xml:space="preserve"> only three were </w:t>
      </w:r>
      <w:r w:rsidR="00C3356E">
        <w:rPr>
          <w:sz w:val="24"/>
          <w:szCs w:val="24"/>
        </w:rPr>
        <w:t>outside the Perth central area,</w:t>
      </w:r>
      <w:r w:rsidR="00B800FB">
        <w:rPr>
          <w:sz w:val="24"/>
          <w:szCs w:val="24"/>
        </w:rPr>
        <w:t xml:space="preserve"> </w:t>
      </w:r>
      <w:r w:rsidR="00AA1B26">
        <w:rPr>
          <w:sz w:val="24"/>
          <w:szCs w:val="24"/>
        </w:rPr>
        <w:t xml:space="preserve">and </w:t>
      </w:r>
      <w:r w:rsidR="00C3356E">
        <w:rPr>
          <w:sz w:val="24"/>
          <w:szCs w:val="24"/>
        </w:rPr>
        <w:t>these are site</w:t>
      </w:r>
      <w:r w:rsidR="00B800FB">
        <w:rPr>
          <w:sz w:val="24"/>
          <w:szCs w:val="24"/>
        </w:rPr>
        <w:t xml:space="preserve">d on the original suburban railway lines.  </w:t>
      </w:r>
      <w:r w:rsidR="00C3356E">
        <w:rPr>
          <w:sz w:val="24"/>
          <w:szCs w:val="24"/>
        </w:rPr>
        <w:t>T</w:t>
      </w:r>
      <w:r w:rsidR="00B800FB">
        <w:rPr>
          <w:sz w:val="24"/>
          <w:szCs w:val="24"/>
        </w:rPr>
        <w:t>he majority of precincts were developed at low densities</w:t>
      </w:r>
      <w:r w:rsidR="00D66FA4">
        <w:rPr>
          <w:sz w:val="24"/>
          <w:szCs w:val="24"/>
        </w:rPr>
        <w:t xml:space="preserve"> (see Photograph 3)</w:t>
      </w:r>
      <w:r w:rsidR="00B800FB">
        <w:rPr>
          <w:sz w:val="24"/>
          <w:szCs w:val="24"/>
        </w:rPr>
        <w:t>.</w:t>
      </w:r>
      <w:r w:rsidR="004310B2">
        <w:rPr>
          <w:sz w:val="24"/>
          <w:szCs w:val="24"/>
        </w:rPr>
        <w:t xml:space="preserve"> </w:t>
      </w:r>
      <w:r w:rsidR="004310B2" w:rsidRPr="00290FF0">
        <w:rPr>
          <w:sz w:val="24"/>
        </w:rPr>
        <w:t xml:space="preserve">There is a clear density gradient - highest densities are close to the </w:t>
      </w:r>
      <w:r w:rsidR="00C3356E">
        <w:rPr>
          <w:sz w:val="24"/>
        </w:rPr>
        <w:t xml:space="preserve">Perth </w:t>
      </w:r>
      <w:r w:rsidR="004310B2" w:rsidRPr="00290FF0">
        <w:rPr>
          <w:sz w:val="24"/>
        </w:rPr>
        <w:t>centr</w:t>
      </w:r>
      <w:r w:rsidR="00C3356E">
        <w:rPr>
          <w:sz w:val="24"/>
        </w:rPr>
        <w:t>al area</w:t>
      </w:r>
      <w:r w:rsidR="004310B2" w:rsidRPr="00290FF0">
        <w:rPr>
          <w:sz w:val="24"/>
        </w:rPr>
        <w:t xml:space="preserve">, </w:t>
      </w:r>
      <w:r w:rsidR="00C3356E">
        <w:rPr>
          <w:sz w:val="24"/>
        </w:rPr>
        <w:t>lowest</w:t>
      </w:r>
      <w:r w:rsidR="004310B2" w:rsidRPr="00290FF0">
        <w:rPr>
          <w:sz w:val="24"/>
        </w:rPr>
        <w:t xml:space="preserve"> in outer suburbs.</w:t>
      </w:r>
      <w:r w:rsidR="004310B2">
        <w:rPr>
          <w:sz w:val="24"/>
        </w:rPr>
        <w:t xml:space="preserve">  </w:t>
      </w:r>
      <w:r w:rsidR="004310B2" w:rsidRPr="004310B2">
        <w:rPr>
          <w:sz w:val="24"/>
        </w:rPr>
        <w:t xml:space="preserve">The </w:t>
      </w:r>
      <w:r w:rsidR="007233D3">
        <w:rPr>
          <w:sz w:val="24"/>
        </w:rPr>
        <w:t>analysis using</w:t>
      </w:r>
      <w:r w:rsidR="004310B2" w:rsidRPr="004310B2">
        <w:rPr>
          <w:sz w:val="24"/>
        </w:rPr>
        <w:t xml:space="preserve"> gross density </w:t>
      </w:r>
      <w:r w:rsidR="00AA1B26">
        <w:rPr>
          <w:sz w:val="24"/>
        </w:rPr>
        <w:t>showed a poorer result</w:t>
      </w:r>
      <w:r w:rsidR="002812F2">
        <w:rPr>
          <w:sz w:val="24"/>
        </w:rPr>
        <w:t>:</w:t>
      </w:r>
      <w:r w:rsidR="004310B2" w:rsidRPr="004310B2">
        <w:rPr>
          <w:sz w:val="24"/>
        </w:rPr>
        <w:t xml:space="preserve"> 84% of station precincts had a density of less than 10 dwellings per hectare </w:t>
      </w:r>
      <w:r w:rsidR="002812F2">
        <w:rPr>
          <w:sz w:val="24"/>
        </w:rPr>
        <w:t xml:space="preserve">and </w:t>
      </w:r>
      <w:r w:rsidR="004310B2" w:rsidRPr="004310B2">
        <w:rPr>
          <w:sz w:val="24"/>
        </w:rPr>
        <w:t>only 1 station achieved a density greater than 15 du/ha (Maylands an inner suburb precinct at 18 du/ha).</w:t>
      </w:r>
      <w:r w:rsidR="007233D3">
        <w:rPr>
          <w:sz w:val="24"/>
        </w:rPr>
        <w:t xml:space="preserve">  Implementation measured by conformance has been very ineffective.</w:t>
      </w:r>
    </w:p>
    <w:p w:rsidR="00D66FA4" w:rsidRPr="001A22DC" w:rsidRDefault="00D66FA4" w:rsidP="00D66FA4">
      <w:pPr>
        <w:jc w:val="both"/>
        <w:rPr>
          <w:b/>
          <w:sz w:val="24"/>
          <w:szCs w:val="24"/>
        </w:rPr>
      </w:pPr>
      <w:r w:rsidRPr="001A22DC">
        <w:rPr>
          <w:b/>
          <w:i/>
          <w:sz w:val="24"/>
          <w:szCs w:val="24"/>
        </w:rPr>
        <w:t xml:space="preserve">Insert Photograph </w:t>
      </w:r>
      <w:r>
        <w:rPr>
          <w:b/>
          <w:i/>
          <w:sz w:val="24"/>
          <w:szCs w:val="24"/>
        </w:rPr>
        <w:t>3</w:t>
      </w:r>
      <w:r w:rsidRPr="001A22DC">
        <w:rPr>
          <w:b/>
          <w:i/>
          <w:sz w:val="24"/>
          <w:szCs w:val="24"/>
        </w:rPr>
        <w:t xml:space="preserve"> here</w:t>
      </w:r>
    </w:p>
    <w:p w:rsidR="00B800FB" w:rsidRDefault="002943FA" w:rsidP="00931EAA">
      <w:pPr>
        <w:jc w:val="both"/>
        <w:rPr>
          <w:sz w:val="24"/>
          <w:szCs w:val="24"/>
        </w:rPr>
      </w:pPr>
      <w:r>
        <w:rPr>
          <w:sz w:val="24"/>
          <w:szCs w:val="24"/>
        </w:rPr>
        <w:t>Since the 1970s t</w:t>
      </w:r>
      <w:r w:rsidRPr="003E5732">
        <w:rPr>
          <w:sz w:val="24"/>
          <w:szCs w:val="24"/>
        </w:rPr>
        <w:t xml:space="preserve">he </w:t>
      </w:r>
      <w:r>
        <w:rPr>
          <w:sz w:val="24"/>
          <w:szCs w:val="24"/>
        </w:rPr>
        <w:t>State</w:t>
      </w:r>
      <w:r w:rsidRPr="003E5732">
        <w:rPr>
          <w:sz w:val="24"/>
          <w:szCs w:val="24"/>
        </w:rPr>
        <w:t xml:space="preserve"> has </w:t>
      </w:r>
      <w:r>
        <w:rPr>
          <w:sz w:val="24"/>
          <w:szCs w:val="24"/>
        </w:rPr>
        <w:t>promoted</w:t>
      </w:r>
      <w:r w:rsidRPr="003E5732">
        <w:rPr>
          <w:sz w:val="24"/>
          <w:szCs w:val="24"/>
        </w:rPr>
        <w:t xml:space="preserve"> </w:t>
      </w:r>
      <w:r>
        <w:rPr>
          <w:sz w:val="24"/>
          <w:szCs w:val="24"/>
        </w:rPr>
        <w:t xml:space="preserve">a </w:t>
      </w:r>
      <w:r w:rsidRPr="003E5732">
        <w:rPr>
          <w:sz w:val="24"/>
          <w:szCs w:val="24"/>
        </w:rPr>
        <w:t xml:space="preserve">planning policy </w:t>
      </w:r>
      <w:r>
        <w:rPr>
          <w:sz w:val="24"/>
          <w:szCs w:val="24"/>
        </w:rPr>
        <w:t>for the development</w:t>
      </w:r>
      <w:r w:rsidRPr="003E5732">
        <w:rPr>
          <w:sz w:val="24"/>
          <w:szCs w:val="24"/>
        </w:rPr>
        <w:t xml:space="preserve"> of regional centres at the ends of each railway.  The planning rationale was that these regional centres would provide a counter balance t</w:t>
      </w:r>
      <w:r>
        <w:rPr>
          <w:sz w:val="24"/>
          <w:szCs w:val="24"/>
        </w:rPr>
        <w:t xml:space="preserve">o the Perth CBD for employment. </w:t>
      </w:r>
      <w:r w:rsidR="00B800FB">
        <w:rPr>
          <w:sz w:val="24"/>
          <w:szCs w:val="24"/>
        </w:rPr>
        <w:t>Employment use</w:t>
      </w:r>
      <w:r w:rsidR="007233D3">
        <w:rPr>
          <w:sz w:val="24"/>
          <w:szCs w:val="24"/>
        </w:rPr>
        <w:t xml:space="preserve"> </w:t>
      </w:r>
      <w:r>
        <w:rPr>
          <w:sz w:val="24"/>
          <w:szCs w:val="24"/>
        </w:rPr>
        <w:t xml:space="preserve">(Figures 4a and 4b) </w:t>
      </w:r>
      <w:r w:rsidR="00B800FB">
        <w:rPr>
          <w:sz w:val="24"/>
          <w:szCs w:val="24"/>
        </w:rPr>
        <w:t>includ</w:t>
      </w:r>
      <w:r w:rsidR="007233D3">
        <w:rPr>
          <w:sz w:val="24"/>
          <w:szCs w:val="24"/>
        </w:rPr>
        <w:t>es</w:t>
      </w:r>
      <w:r w:rsidR="00B800FB">
        <w:rPr>
          <w:sz w:val="24"/>
          <w:szCs w:val="24"/>
        </w:rPr>
        <w:t xml:space="preserve"> a measure for intensity of employment using worker floor space density</w:t>
      </w:r>
      <w:r w:rsidR="007233D3">
        <w:rPr>
          <w:sz w:val="24"/>
          <w:szCs w:val="24"/>
        </w:rPr>
        <w:t>;</w:t>
      </w:r>
      <w:r w:rsidR="00B800FB">
        <w:rPr>
          <w:sz w:val="24"/>
          <w:szCs w:val="24"/>
        </w:rPr>
        <w:t xml:space="preserve"> low intensity uses </w:t>
      </w:r>
      <w:r w:rsidR="007233D3">
        <w:rPr>
          <w:sz w:val="24"/>
          <w:szCs w:val="24"/>
        </w:rPr>
        <w:t>(</w:t>
      </w:r>
      <w:r w:rsidR="00B800FB">
        <w:rPr>
          <w:sz w:val="24"/>
          <w:szCs w:val="24"/>
        </w:rPr>
        <w:t>employing equal to or less than 1 person per 150 square metres</w:t>
      </w:r>
      <w:r w:rsidR="007233D3">
        <w:rPr>
          <w:sz w:val="24"/>
          <w:szCs w:val="24"/>
        </w:rPr>
        <w:t>)</w:t>
      </w:r>
      <w:r w:rsidR="00B800FB">
        <w:rPr>
          <w:sz w:val="24"/>
          <w:szCs w:val="24"/>
        </w:rPr>
        <w:t xml:space="preserve">; high intensity </w:t>
      </w:r>
      <w:r w:rsidR="007233D3">
        <w:rPr>
          <w:sz w:val="24"/>
          <w:szCs w:val="24"/>
        </w:rPr>
        <w:t>(</w:t>
      </w:r>
      <w:r w:rsidR="00B800FB" w:rsidRPr="00B800FB">
        <w:rPr>
          <w:sz w:val="24"/>
          <w:szCs w:val="24"/>
        </w:rPr>
        <w:t xml:space="preserve">employing </w:t>
      </w:r>
      <w:r w:rsidR="00B800FB">
        <w:rPr>
          <w:sz w:val="24"/>
          <w:szCs w:val="24"/>
        </w:rPr>
        <w:t>more</w:t>
      </w:r>
      <w:r w:rsidR="00B800FB" w:rsidRPr="00B800FB">
        <w:rPr>
          <w:sz w:val="24"/>
          <w:szCs w:val="24"/>
        </w:rPr>
        <w:t xml:space="preserve"> than 1 person per 150 square metres</w:t>
      </w:r>
      <w:r w:rsidR="00B800FB">
        <w:rPr>
          <w:sz w:val="24"/>
          <w:szCs w:val="24"/>
        </w:rPr>
        <w:t xml:space="preserve">).  Only thirteen station precincts outside the Perth Central area </w:t>
      </w:r>
      <w:r w:rsidR="007233D3">
        <w:rPr>
          <w:sz w:val="24"/>
          <w:szCs w:val="24"/>
        </w:rPr>
        <w:t>contain employment use</w:t>
      </w:r>
      <w:r w:rsidR="00B800FB">
        <w:rPr>
          <w:sz w:val="24"/>
          <w:szCs w:val="24"/>
        </w:rPr>
        <w:t xml:space="preserve">, and only two of these are developed at </w:t>
      </w:r>
      <w:r w:rsidR="007233D3">
        <w:rPr>
          <w:sz w:val="24"/>
          <w:szCs w:val="24"/>
        </w:rPr>
        <w:t xml:space="preserve">the </w:t>
      </w:r>
      <w:r w:rsidR="00B800FB">
        <w:rPr>
          <w:sz w:val="24"/>
          <w:szCs w:val="24"/>
        </w:rPr>
        <w:t>h</w:t>
      </w:r>
      <w:r w:rsidR="007233D3">
        <w:rPr>
          <w:sz w:val="24"/>
          <w:szCs w:val="24"/>
        </w:rPr>
        <w:t>igher work floor space density</w:t>
      </w:r>
      <w:r w:rsidR="00B800FB">
        <w:rPr>
          <w:sz w:val="24"/>
          <w:szCs w:val="24"/>
        </w:rPr>
        <w:t xml:space="preserve">. </w:t>
      </w:r>
      <w:r>
        <w:rPr>
          <w:sz w:val="24"/>
          <w:szCs w:val="24"/>
        </w:rPr>
        <w:t>Out of the 5 regional centres at the</w:t>
      </w:r>
      <w:r w:rsidR="00B800FB">
        <w:rPr>
          <w:sz w:val="24"/>
          <w:szCs w:val="24"/>
        </w:rPr>
        <w:t xml:space="preserve"> </w:t>
      </w:r>
      <w:r>
        <w:rPr>
          <w:sz w:val="24"/>
          <w:szCs w:val="24"/>
        </w:rPr>
        <w:t>ends of the railway, only one implements the employment policy, but only at low intensity worker floorspace.</w:t>
      </w:r>
    </w:p>
    <w:p w:rsidR="00264BAB" w:rsidRDefault="00264BAB">
      <w:pPr>
        <w:rPr>
          <w:sz w:val="24"/>
          <w:szCs w:val="24"/>
        </w:rPr>
      </w:pPr>
      <w:r>
        <w:rPr>
          <w:sz w:val="24"/>
          <w:szCs w:val="24"/>
        </w:rPr>
        <w:br w:type="page"/>
      </w:r>
    </w:p>
    <w:p w:rsidR="003E5732" w:rsidRPr="003E5732" w:rsidRDefault="00264BAB" w:rsidP="00931EAA">
      <w:pPr>
        <w:jc w:val="both"/>
        <w:rPr>
          <w:sz w:val="24"/>
          <w:szCs w:val="24"/>
        </w:rPr>
      </w:pPr>
      <w:r w:rsidRPr="00264BAB">
        <w:rPr>
          <w:noProof/>
          <w:sz w:val="24"/>
          <w:szCs w:val="24"/>
          <w:lang w:eastAsia="en-AU"/>
        </w:rPr>
        <w:lastRenderedPageBreak/>
        <w:drawing>
          <wp:inline distT="0" distB="0" distL="0" distR="0">
            <wp:extent cx="5674519" cy="8019215"/>
            <wp:effectExtent l="19050" t="0" r="2381"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674519" cy="8019215"/>
                    </a:xfrm>
                    <a:prstGeom prst="rect">
                      <a:avLst/>
                    </a:prstGeom>
                    <a:noFill/>
                    <a:ln w="9525">
                      <a:noFill/>
                      <a:miter lim="800000"/>
                      <a:headEnd/>
                      <a:tailEnd/>
                    </a:ln>
                  </pic:spPr>
                </pic:pic>
              </a:graphicData>
            </a:graphic>
          </wp:inline>
        </w:drawing>
      </w:r>
    </w:p>
    <w:p w:rsidR="00264BAB" w:rsidRDefault="00264BAB" w:rsidP="00264BAB">
      <w:pPr>
        <w:rPr>
          <w:b/>
          <w:sz w:val="24"/>
          <w:szCs w:val="24"/>
        </w:rPr>
      </w:pPr>
      <w:r w:rsidRPr="00264BAB">
        <w:rPr>
          <w:b/>
          <w:sz w:val="24"/>
          <w:szCs w:val="24"/>
        </w:rPr>
        <w:t xml:space="preserve">Figure </w:t>
      </w:r>
      <w:r w:rsidR="00A82B47">
        <w:rPr>
          <w:b/>
          <w:sz w:val="24"/>
          <w:szCs w:val="24"/>
        </w:rPr>
        <w:t>4</w:t>
      </w:r>
      <w:r w:rsidRPr="00264BAB">
        <w:rPr>
          <w:b/>
          <w:sz w:val="24"/>
          <w:szCs w:val="24"/>
        </w:rPr>
        <w:t>a: Metropolitan Station Precincts: Actual land uses at 2007</w:t>
      </w:r>
      <w:r>
        <w:rPr>
          <w:b/>
          <w:sz w:val="24"/>
          <w:szCs w:val="24"/>
        </w:rPr>
        <w:t xml:space="preserve"> (net density shown)</w:t>
      </w:r>
    </w:p>
    <w:p w:rsidR="00264BAB" w:rsidRDefault="00264BAB" w:rsidP="00264BAB">
      <w:pPr>
        <w:rPr>
          <w:b/>
          <w:sz w:val="24"/>
          <w:szCs w:val="24"/>
        </w:rPr>
      </w:pPr>
      <w:r w:rsidRPr="00264BAB">
        <w:rPr>
          <w:b/>
          <w:noProof/>
          <w:sz w:val="24"/>
          <w:szCs w:val="24"/>
          <w:lang w:eastAsia="en-AU"/>
        </w:rPr>
        <w:lastRenderedPageBreak/>
        <w:drawing>
          <wp:inline distT="0" distB="0" distL="0" distR="0">
            <wp:extent cx="3474720" cy="49136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474720" cy="4913630"/>
                    </a:xfrm>
                    <a:prstGeom prst="rect">
                      <a:avLst/>
                    </a:prstGeom>
                    <a:noFill/>
                    <a:ln w="9525">
                      <a:noFill/>
                      <a:miter lim="800000"/>
                      <a:headEnd/>
                      <a:tailEnd/>
                    </a:ln>
                  </pic:spPr>
                </pic:pic>
              </a:graphicData>
            </a:graphic>
          </wp:inline>
        </w:drawing>
      </w:r>
    </w:p>
    <w:p w:rsidR="00264BAB" w:rsidRPr="00264BAB" w:rsidRDefault="00A82B47" w:rsidP="00264BAB">
      <w:pPr>
        <w:rPr>
          <w:b/>
          <w:sz w:val="24"/>
          <w:szCs w:val="24"/>
        </w:rPr>
      </w:pPr>
      <w:r>
        <w:rPr>
          <w:b/>
          <w:sz w:val="24"/>
          <w:szCs w:val="24"/>
        </w:rPr>
        <w:t>Figure 4</w:t>
      </w:r>
      <w:r w:rsidR="00264BAB" w:rsidRPr="00264BAB">
        <w:rPr>
          <w:b/>
          <w:sz w:val="24"/>
          <w:szCs w:val="24"/>
        </w:rPr>
        <w:t>b: Metropolitan Station Precincts- Perth CBD inset</w:t>
      </w:r>
      <w:r w:rsidR="00264BAB">
        <w:rPr>
          <w:b/>
          <w:sz w:val="24"/>
          <w:szCs w:val="24"/>
        </w:rPr>
        <w:t xml:space="preserve"> </w:t>
      </w:r>
      <w:r w:rsidR="00264BAB" w:rsidRPr="00264BAB">
        <w:rPr>
          <w:b/>
          <w:sz w:val="24"/>
          <w:szCs w:val="24"/>
        </w:rPr>
        <w:t>- Actual land use</w:t>
      </w:r>
      <w:r w:rsidR="00264BAB">
        <w:rPr>
          <w:b/>
          <w:sz w:val="24"/>
          <w:szCs w:val="24"/>
        </w:rPr>
        <w:t xml:space="preserve"> (net density shown)</w:t>
      </w:r>
    </w:p>
    <w:p w:rsidR="00335ED9" w:rsidRPr="006C3A14" w:rsidRDefault="00335ED9" w:rsidP="00335ED9">
      <w:pPr>
        <w:jc w:val="both"/>
        <w:rPr>
          <w:sz w:val="24"/>
          <w:szCs w:val="24"/>
        </w:rPr>
      </w:pPr>
      <w:r w:rsidRPr="006C3A14">
        <w:rPr>
          <w:sz w:val="24"/>
          <w:szCs w:val="24"/>
        </w:rPr>
        <w:t xml:space="preserve">There would appear to be some evidence that </w:t>
      </w:r>
      <w:r>
        <w:rPr>
          <w:sz w:val="24"/>
          <w:szCs w:val="24"/>
        </w:rPr>
        <w:t xml:space="preserve">station precincts governed by </w:t>
      </w:r>
      <w:r w:rsidRPr="006C3A14">
        <w:rPr>
          <w:sz w:val="24"/>
          <w:szCs w:val="24"/>
        </w:rPr>
        <w:t xml:space="preserve">local </w:t>
      </w:r>
      <w:r>
        <w:rPr>
          <w:sz w:val="24"/>
          <w:szCs w:val="24"/>
        </w:rPr>
        <w:t>planning</w:t>
      </w:r>
      <w:r w:rsidRPr="006C3A14">
        <w:rPr>
          <w:sz w:val="24"/>
          <w:szCs w:val="24"/>
        </w:rPr>
        <w:t xml:space="preserve"> schemes </w:t>
      </w:r>
      <w:r>
        <w:rPr>
          <w:sz w:val="24"/>
          <w:szCs w:val="24"/>
        </w:rPr>
        <w:t>gazetted</w:t>
      </w:r>
      <w:r w:rsidRPr="006C3A14">
        <w:rPr>
          <w:sz w:val="24"/>
          <w:szCs w:val="24"/>
        </w:rPr>
        <w:t xml:space="preserve"> in the ten year period after the </w:t>
      </w:r>
      <w:r>
        <w:rPr>
          <w:sz w:val="24"/>
          <w:szCs w:val="24"/>
        </w:rPr>
        <w:t>1988</w:t>
      </w:r>
      <w:r w:rsidRPr="006C3A14">
        <w:rPr>
          <w:sz w:val="24"/>
          <w:szCs w:val="24"/>
        </w:rPr>
        <w:t xml:space="preserve"> </w:t>
      </w:r>
      <w:r>
        <w:rPr>
          <w:sz w:val="24"/>
          <w:szCs w:val="24"/>
        </w:rPr>
        <w:t>State TOD policy</w:t>
      </w:r>
      <w:r w:rsidRPr="006C3A14">
        <w:rPr>
          <w:sz w:val="24"/>
          <w:szCs w:val="24"/>
        </w:rPr>
        <w:t xml:space="preserve"> have translated to the delivery of higher density precincts</w:t>
      </w:r>
      <w:r>
        <w:rPr>
          <w:sz w:val="24"/>
          <w:szCs w:val="24"/>
        </w:rPr>
        <w:t xml:space="preserve">: </w:t>
      </w:r>
      <w:r w:rsidRPr="006C3A14">
        <w:rPr>
          <w:sz w:val="24"/>
          <w:szCs w:val="24"/>
        </w:rPr>
        <w:t>30% of precincts are medium density compared to only 13% post 1998</w:t>
      </w:r>
      <w:r>
        <w:rPr>
          <w:sz w:val="24"/>
          <w:szCs w:val="24"/>
        </w:rPr>
        <w:t xml:space="preserve"> (Figure 5)</w:t>
      </w:r>
      <w:r w:rsidRPr="006C3A14">
        <w:rPr>
          <w:sz w:val="24"/>
          <w:szCs w:val="24"/>
        </w:rPr>
        <w:t>.</w:t>
      </w:r>
    </w:p>
    <w:p w:rsidR="00335ED9" w:rsidRPr="00290FF0" w:rsidRDefault="00335ED9" w:rsidP="00335ED9">
      <w:pPr>
        <w:rPr>
          <w:sz w:val="24"/>
        </w:rPr>
      </w:pPr>
      <w:r>
        <w:rPr>
          <w:noProof/>
          <w:sz w:val="24"/>
          <w:lang w:eastAsia="en-AU"/>
        </w:rPr>
        <mc:AlternateContent>
          <mc:Choice Requires="wpc">
            <w:drawing>
              <wp:inline distT="0" distB="0" distL="0" distR="0" wp14:anchorId="5765018C" wp14:editId="58F941A8">
                <wp:extent cx="7565390" cy="2393315"/>
                <wp:effectExtent l="285750" t="0" r="16510" b="26035"/>
                <wp:docPr id="81"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Rectangle 11"/>
                        <wps:cNvSpPr>
                          <a:spLocks noChangeArrowheads="1"/>
                        </wps:cNvSpPr>
                        <wps:spPr bwMode="auto">
                          <a:xfrm>
                            <a:off x="0" y="88900"/>
                            <a:ext cx="5757863" cy="2304256"/>
                          </a:xfrm>
                          <a:prstGeom prst="rect">
                            <a:avLst/>
                          </a:prstGeom>
                          <a:solidFill>
                            <a:srgbClr val="FFFFFF"/>
                          </a:solidFill>
                          <a:ln w="14">
                            <a:solidFill>
                              <a:srgbClr val="000000"/>
                            </a:solidFill>
                            <a:miter lim="800000"/>
                            <a:headEnd/>
                            <a:tailEnd/>
                          </a:ln>
                        </wps:spPr>
                        <wps:bodyPr rot="0" vert="horz" wrap="square" lIns="91440" tIns="45720" rIns="91440" bIns="45720" anchor="t" anchorCtr="0" upright="1">
                          <a:noAutofit/>
                        </wps:bodyPr>
                      </wps:wsp>
                      <wps:wsp>
                        <wps:cNvPr id="12" name="Rectangle 12"/>
                        <wps:cNvSpPr>
                          <a:spLocks noChangeArrowheads="1"/>
                        </wps:cNvSpPr>
                        <wps:spPr bwMode="auto">
                          <a:xfrm>
                            <a:off x="574675" y="575945"/>
                            <a:ext cx="2210435" cy="10458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3"/>
                        <wps:cNvCnPr/>
                        <wps:spPr bwMode="auto">
                          <a:xfrm>
                            <a:off x="574675" y="1444625"/>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wps:spPr bwMode="auto">
                          <a:xfrm>
                            <a:off x="574675" y="1276350"/>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 name="Line 15"/>
                        <wps:cNvCnPr/>
                        <wps:spPr bwMode="auto">
                          <a:xfrm>
                            <a:off x="574675" y="1099185"/>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 name="Line 16"/>
                        <wps:cNvCnPr/>
                        <wps:spPr bwMode="auto">
                          <a:xfrm>
                            <a:off x="574675" y="922020"/>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 name="Line 17"/>
                        <wps:cNvCnPr/>
                        <wps:spPr bwMode="auto">
                          <a:xfrm>
                            <a:off x="574675" y="753110"/>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 name="Line 18"/>
                        <wps:cNvCnPr/>
                        <wps:spPr bwMode="auto">
                          <a:xfrm>
                            <a:off x="574675" y="575945"/>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19"/>
                        <wps:cNvSpPr>
                          <a:spLocks noChangeArrowheads="1"/>
                        </wps:cNvSpPr>
                        <wps:spPr bwMode="auto">
                          <a:xfrm>
                            <a:off x="574675" y="575945"/>
                            <a:ext cx="2210435" cy="1045845"/>
                          </a:xfrm>
                          <a:prstGeom prst="rect">
                            <a:avLst/>
                          </a:prstGeom>
                          <a:noFill/>
                          <a:ln w="14">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0"/>
                        <wps:cNvCnPr/>
                        <wps:spPr bwMode="auto">
                          <a:xfrm>
                            <a:off x="574675" y="575945"/>
                            <a:ext cx="635" cy="10458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539115" y="162179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wps:spPr bwMode="auto">
                          <a:xfrm>
                            <a:off x="539115" y="144462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wps:spPr bwMode="auto">
                          <a:xfrm>
                            <a:off x="539115" y="127635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wps:spPr bwMode="auto">
                          <a:xfrm>
                            <a:off x="539115" y="109918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 name="Line 25"/>
                        <wps:cNvCnPr/>
                        <wps:spPr bwMode="auto">
                          <a:xfrm>
                            <a:off x="539115" y="92202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wps:spPr bwMode="auto">
                          <a:xfrm>
                            <a:off x="539115" y="753110"/>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Line 27"/>
                        <wps:cNvCnPr/>
                        <wps:spPr bwMode="auto">
                          <a:xfrm>
                            <a:off x="539115" y="575945"/>
                            <a:ext cx="35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a:off x="574675" y="1621790"/>
                            <a:ext cx="22104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Line 29"/>
                        <wps:cNvCnPr/>
                        <wps:spPr bwMode="auto">
                          <a:xfrm flipV="1">
                            <a:off x="574675" y="1621790"/>
                            <a:ext cx="635" cy="355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Line 30"/>
                        <wps:cNvCnPr/>
                        <wps:spPr bwMode="auto">
                          <a:xfrm flipV="1">
                            <a:off x="1308735" y="1621790"/>
                            <a:ext cx="635" cy="355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wps:spPr bwMode="auto">
                          <a:xfrm flipV="1">
                            <a:off x="2051050" y="1621790"/>
                            <a:ext cx="635" cy="355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wps:spPr bwMode="auto">
                          <a:xfrm flipV="1">
                            <a:off x="2785110" y="1621790"/>
                            <a:ext cx="635" cy="355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3"/>
                        <wps:cNvSpPr>
                          <a:spLocks noChangeArrowheads="1"/>
                        </wps:cNvSpPr>
                        <wps:spPr bwMode="auto">
                          <a:xfrm>
                            <a:off x="946150" y="1329690"/>
                            <a:ext cx="52705"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4"/>
                        <wps:cNvSpPr>
                          <a:spLocks noChangeArrowheads="1"/>
                        </wps:cNvSpPr>
                        <wps:spPr bwMode="auto">
                          <a:xfrm>
                            <a:off x="1105535" y="1320800"/>
                            <a:ext cx="52705"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5"/>
                        <wps:cNvSpPr>
                          <a:spLocks noChangeArrowheads="1"/>
                        </wps:cNvSpPr>
                        <wps:spPr bwMode="auto">
                          <a:xfrm>
                            <a:off x="1264285" y="1311910"/>
                            <a:ext cx="5334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6"/>
                        <wps:cNvSpPr>
                          <a:spLocks noChangeArrowheads="1"/>
                        </wps:cNvSpPr>
                        <wps:spPr bwMode="auto">
                          <a:xfrm>
                            <a:off x="1423670" y="1303020"/>
                            <a:ext cx="52705"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1582420" y="1294130"/>
                            <a:ext cx="53340" cy="35560"/>
                          </a:xfrm>
                          <a:custGeom>
                            <a:avLst/>
                            <a:gdLst>
                              <a:gd name="T0" fmla="*/ 0 w 84"/>
                              <a:gd name="T1" fmla="*/ 14 h 56"/>
                              <a:gd name="T2" fmla="*/ 84 w 84"/>
                              <a:gd name="T3" fmla="*/ 0 h 56"/>
                              <a:gd name="T4" fmla="*/ 84 w 84"/>
                              <a:gd name="T5" fmla="*/ 42 h 56"/>
                              <a:gd name="T6" fmla="*/ 0 w 84"/>
                              <a:gd name="T7" fmla="*/ 56 h 56"/>
                              <a:gd name="T8" fmla="*/ 0 w 84"/>
                              <a:gd name="T9" fmla="*/ 14 h 56"/>
                            </a:gdLst>
                            <a:ahLst/>
                            <a:cxnLst>
                              <a:cxn ang="0">
                                <a:pos x="T0" y="T1"/>
                              </a:cxn>
                              <a:cxn ang="0">
                                <a:pos x="T2" y="T3"/>
                              </a:cxn>
                              <a:cxn ang="0">
                                <a:pos x="T4" y="T5"/>
                              </a:cxn>
                              <a:cxn ang="0">
                                <a:pos x="T6" y="T7"/>
                              </a:cxn>
                              <a:cxn ang="0">
                                <a:pos x="T8" y="T9"/>
                              </a:cxn>
                            </a:cxnLst>
                            <a:rect l="0" t="0" r="r" b="b"/>
                            <a:pathLst>
                              <a:path w="84" h="56">
                                <a:moveTo>
                                  <a:pt x="0" y="14"/>
                                </a:moveTo>
                                <a:lnTo>
                                  <a:pt x="84" y="0"/>
                                </a:lnTo>
                                <a:lnTo>
                                  <a:pt x="84" y="42"/>
                                </a:lnTo>
                                <a:lnTo>
                                  <a:pt x="0" y="56"/>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1724025" y="1231900"/>
                            <a:ext cx="53340" cy="53340"/>
                          </a:xfrm>
                          <a:custGeom>
                            <a:avLst/>
                            <a:gdLst>
                              <a:gd name="T0" fmla="*/ 0 w 84"/>
                              <a:gd name="T1" fmla="*/ 56 h 84"/>
                              <a:gd name="T2" fmla="*/ 56 w 84"/>
                              <a:gd name="T3" fmla="*/ 0 h 84"/>
                              <a:gd name="T4" fmla="*/ 84 w 84"/>
                              <a:gd name="T5" fmla="*/ 28 h 84"/>
                              <a:gd name="T6" fmla="*/ 28 w 84"/>
                              <a:gd name="T7" fmla="*/ 84 h 84"/>
                              <a:gd name="T8" fmla="*/ 0 w 84"/>
                              <a:gd name="T9" fmla="*/ 56 h 84"/>
                            </a:gdLst>
                            <a:ahLst/>
                            <a:cxnLst>
                              <a:cxn ang="0">
                                <a:pos x="T0" y="T1"/>
                              </a:cxn>
                              <a:cxn ang="0">
                                <a:pos x="T2" y="T3"/>
                              </a:cxn>
                              <a:cxn ang="0">
                                <a:pos x="T4" y="T5"/>
                              </a:cxn>
                              <a:cxn ang="0">
                                <a:pos x="T6" y="T7"/>
                              </a:cxn>
                              <a:cxn ang="0">
                                <a:pos x="T8" y="T9"/>
                              </a:cxn>
                            </a:cxnLst>
                            <a:rect l="0" t="0" r="r" b="b"/>
                            <a:pathLst>
                              <a:path w="84" h="84">
                                <a:moveTo>
                                  <a:pt x="0" y="56"/>
                                </a:moveTo>
                                <a:lnTo>
                                  <a:pt x="56" y="0"/>
                                </a:lnTo>
                                <a:lnTo>
                                  <a:pt x="84" y="28"/>
                                </a:lnTo>
                                <a:lnTo>
                                  <a:pt x="28" y="84"/>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1847850" y="1134745"/>
                            <a:ext cx="62230" cy="52705"/>
                          </a:xfrm>
                          <a:custGeom>
                            <a:avLst/>
                            <a:gdLst>
                              <a:gd name="T0" fmla="*/ 0 w 98"/>
                              <a:gd name="T1" fmla="*/ 56 h 83"/>
                              <a:gd name="T2" fmla="*/ 70 w 98"/>
                              <a:gd name="T3" fmla="*/ 0 h 83"/>
                              <a:gd name="T4" fmla="*/ 98 w 98"/>
                              <a:gd name="T5" fmla="*/ 28 h 83"/>
                              <a:gd name="T6" fmla="*/ 28 w 98"/>
                              <a:gd name="T7" fmla="*/ 83 h 83"/>
                              <a:gd name="T8" fmla="*/ 0 w 98"/>
                              <a:gd name="T9" fmla="*/ 56 h 83"/>
                            </a:gdLst>
                            <a:ahLst/>
                            <a:cxnLst>
                              <a:cxn ang="0">
                                <a:pos x="T0" y="T1"/>
                              </a:cxn>
                              <a:cxn ang="0">
                                <a:pos x="T2" y="T3"/>
                              </a:cxn>
                              <a:cxn ang="0">
                                <a:pos x="T4" y="T5"/>
                              </a:cxn>
                              <a:cxn ang="0">
                                <a:pos x="T6" y="T7"/>
                              </a:cxn>
                              <a:cxn ang="0">
                                <a:pos x="T8" y="T9"/>
                              </a:cxn>
                            </a:cxnLst>
                            <a:rect l="0" t="0" r="r" b="b"/>
                            <a:pathLst>
                              <a:path w="98" h="83">
                                <a:moveTo>
                                  <a:pt x="0" y="56"/>
                                </a:moveTo>
                                <a:lnTo>
                                  <a:pt x="70" y="0"/>
                                </a:lnTo>
                                <a:lnTo>
                                  <a:pt x="98" y="28"/>
                                </a:lnTo>
                                <a:lnTo>
                                  <a:pt x="28" y="83"/>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1971675" y="1036955"/>
                            <a:ext cx="62230" cy="53340"/>
                          </a:xfrm>
                          <a:custGeom>
                            <a:avLst/>
                            <a:gdLst>
                              <a:gd name="T0" fmla="*/ 0 w 98"/>
                              <a:gd name="T1" fmla="*/ 56 h 84"/>
                              <a:gd name="T2" fmla="*/ 70 w 98"/>
                              <a:gd name="T3" fmla="*/ 0 h 84"/>
                              <a:gd name="T4" fmla="*/ 98 w 98"/>
                              <a:gd name="T5" fmla="*/ 28 h 84"/>
                              <a:gd name="T6" fmla="*/ 28 w 98"/>
                              <a:gd name="T7" fmla="*/ 84 h 84"/>
                              <a:gd name="T8" fmla="*/ 0 w 98"/>
                              <a:gd name="T9" fmla="*/ 56 h 84"/>
                            </a:gdLst>
                            <a:ahLst/>
                            <a:cxnLst>
                              <a:cxn ang="0">
                                <a:pos x="T0" y="T1"/>
                              </a:cxn>
                              <a:cxn ang="0">
                                <a:pos x="T2" y="T3"/>
                              </a:cxn>
                              <a:cxn ang="0">
                                <a:pos x="T4" y="T5"/>
                              </a:cxn>
                              <a:cxn ang="0">
                                <a:pos x="T6" y="T7"/>
                              </a:cxn>
                              <a:cxn ang="0">
                                <a:pos x="T8" y="T9"/>
                              </a:cxn>
                            </a:cxnLst>
                            <a:rect l="0" t="0" r="r" b="b"/>
                            <a:pathLst>
                              <a:path w="98" h="84">
                                <a:moveTo>
                                  <a:pt x="0" y="56"/>
                                </a:moveTo>
                                <a:lnTo>
                                  <a:pt x="70" y="0"/>
                                </a:lnTo>
                                <a:lnTo>
                                  <a:pt x="98" y="28"/>
                                </a:lnTo>
                                <a:lnTo>
                                  <a:pt x="28" y="84"/>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2104390" y="939800"/>
                            <a:ext cx="53340" cy="52705"/>
                          </a:xfrm>
                          <a:custGeom>
                            <a:avLst/>
                            <a:gdLst>
                              <a:gd name="T0" fmla="*/ 0 w 84"/>
                              <a:gd name="T1" fmla="*/ 55 h 83"/>
                              <a:gd name="T2" fmla="*/ 56 w 84"/>
                              <a:gd name="T3" fmla="*/ 0 h 83"/>
                              <a:gd name="T4" fmla="*/ 84 w 84"/>
                              <a:gd name="T5" fmla="*/ 28 h 83"/>
                              <a:gd name="T6" fmla="*/ 28 w 84"/>
                              <a:gd name="T7" fmla="*/ 83 h 83"/>
                              <a:gd name="T8" fmla="*/ 0 w 84"/>
                              <a:gd name="T9" fmla="*/ 55 h 83"/>
                            </a:gdLst>
                            <a:ahLst/>
                            <a:cxnLst>
                              <a:cxn ang="0">
                                <a:pos x="T0" y="T1"/>
                              </a:cxn>
                              <a:cxn ang="0">
                                <a:pos x="T2" y="T3"/>
                              </a:cxn>
                              <a:cxn ang="0">
                                <a:pos x="T4" y="T5"/>
                              </a:cxn>
                              <a:cxn ang="0">
                                <a:pos x="T6" y="T7"/>
                              </a:cxn>
                              <a:cxn ang="0">
                                <a:pos x="T8" y="T9"/>
                              </a:cxn>
                            </a:cxnLst>
                            <a:rect l="0" t="0" r="r" b="b"/>
                            <a:pathLst>
                              <a:path w="84" h="83">
                                <a:moveTo>
                                  <a:pt x="0" y="55"/>
                                </a:moveTo>
                                <a:lnTo>
                                  <a:pt x="56" y="0"/>
                                </a:lnTo>
                                <a:lnTo>
                                  <a:pt x="84" y="28"/>
                                </a:lnTo>
                                <a:lnTo>
                                  <a:pt x="28" y="83"/>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2228215" y="842010"/>
                            <a:ext cx="61595" cy="53340"/>
                          </a:xfrm>
                          <a:custGeom>
                            <a:avLst/>
                            <a:gdLst>
                              <a:gd name="T0" fmla="*/ 0 w 97"/>
                              <a:gd name="T1" fmla="*/ 42 h 84"/>
                              <a:gd name="T2" fmla="*/ 70 w 97"/>
                              <a:gd name="T3" fmla="*/ 0 h 84"/>
                              <a:gd name="T4" fmla="*/ 97 w 97"/>
                              <a:gd name="T5" fmla="*/ 42 h 84"/>
                              <a:gd name="T6" fmla="*/ 28 w 97"/>
                              <a:gd name="T7" fmla="*/ 84 h 84"/>
                              <a:gd name="T8" fmla="*/ 0 w 97"/>
                              <a:gd name="T9" fmla="*/ 42 h 84"/>
                            </a:gdLst>
                            <a:ahLst/>
                            <a:cxnLst>
                              <a:cxn ang="0">
                                <a:pos x="T0" y="T1"/>
                              </a:cxn>
                              <a:cxn ang="0">
                                <a:pos x="T2" y="T3"/>
                              </a:cxn>
                              <a:cxn ang="0">
                                <a:pos x="T4" y="T5"/>
                              </a:cxn>
                              <a:cxn ang="0">
                                <a:pos x="T6" y="T7"/>
                              </a:cxn>
                              <a:cxn ang="0">
                                <a:pos x="T8" y="T9"/>
                              </a:cxn>
                            </a:cxnLst>
                            <a:rect l="0" t="0" r="r" b="b"/>
                            <a:pathLst>
                              <a:path w="97" h="84">
                                <a:moveTo>
                                  <a:pt x="0" y="42"/>
                                </a:moveTo>
                                <a:lnTo>
                                  <a:pt x="70" y="0"/>
                                </a:lnTo>
                                <a:lnTo>
                                  <a:pt x="97" y="42"/>
                                </a:lnTo>
                                <a:lnTo>
                                  <a:pt x="28" y="84"/>
                                </a:lnTo>
                                <a:lnTo>
                                  <a:pt x="0"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2352040" y="744855"/>
                            <a:ext cx="61595" cy="52705"/>
                          </a:xfrm>
                          <a:custGeom>
                            <a:avLst/>
                            <a:gdLst>
                              <a:gd name="T0" fmla="*/ 0 w 97"/>
                              <a:gd name="T1" fmla="*/ 41 h 83"/>
                              <a:gd name="T2" fmla="*/ 70 w 97"/>
                              <a:gd name="T3" fmla="*/ 0 h 83"/>
                              <a:gd name="T4" fmla="*/ 97 w 97"/>
                              <a:gd name="T5" fmla="*/ 41 h 83"/>
                              <a:gd name="T6" fmla="*/ 28 w 97"/>
                              <a:gd name="T7" fmla="*/ 83 h 83"/>
                              <a:gd name="T8" fmla="*/ 0 w 97"/>
                              <a:gd name="T9" fmla="*/ 41 h 83"/>
                            </a:gdLst>
                            <a:ahLst/>
                            <a:cxnLst>
                              <a:cxn ang="0">
                                <a:pos x="T0" y="T1"/>
                              </a:cxn>
                              <a:cxn ang="0">
                                <a:pos x="T2" y="T3"/>
                              </a:cxn>
                              <a:cxn ang="0">
                                <a:pos x="T4" y="T5"/>
                              </a:cxn>
                              <a:cxn ang="0">
                                <a:pos x="T6" y="T7"/>
                              </a:cxn>
                              <a:cxn ang="0">
                                <a:pos x="T8" y="T9"/>
                              </a:cxn>
                            </a:cxnLst>
                            <a:rect l="0" t="0" r="r" b="b"/>
                            <a:pathLst>
                              <a:path w="97" h="83">
                                <a:moveTo>
                                  <a:pt x="0" y="41"/>
                                </a:moveTo>
                                <a:lnTo>
                                  <a:pt x="70" y="0"/>
                                </a:lnTo>
                                <a:lnTo>
                                  <a:pt x="97" y="41"/>
                                </a:lnTo>
                                <a:lnTo>
                                  <a:pt x="28" y="83"/>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946150" y="1515745"/>
                            <a:ext cx="185420" cy="44450"/>
                          </a:xfrm>
                          <a:custGeom>
                            <a:avLst/>
                            <a:gdLst>
                              <a:gd name="T0" fmla="*/ 0 w 292"/>
                              <a:gd name="T1" fmla="*/ 28 h 70"/>
                              <a:gd name="T2" fmla="*/ 292 w 292"/>
                              <a:gd name="T3" fmla="*/ 0 h 70"/>
                              <a:gd name="T4" fmla="*/ 292 w 292"/>
                              <a:gd name="T5" fmla="*/ 42 h 70"/>
                              <a:gd name="T6" fmla="*/ 0 w 292"/>
                              <a:gd name="T7" fmla="*/ 70 h 70"/>
                              <a:gd name="T8" fmla="*/ 0 w 292"/>
                              <a:gd name="T9" fmla="*/ 28 h 70"/>
                            </a:gdLst>
                            <a:ahLst/>
                            <a:cxnLst>
                              <a:cxn ang="0">
                                <a:pos x="T0" y="T1"/>
                              </a:cxn>
                              <a:cxn ang="0">
                                <a:pos x="T2" y="T3"/>
                              </a:cxn>
                              <a:cxn ang="0">
                                <a:pos x="T4" y="T5"/>
                              </a:cxn>
                              <a:cxn ang="0">
                                <a:pos x="T6" y="T7"/>
                              </a:cxn>
                              <a:cxn ang="0">
                                <a:pos x="T8" y="T9"/>
                              </a:cxn>
                            </a:cxnLst>
                            <a:rect l="0" t="0" r="r" b="b"/>
                            <a:pathLst>
                              <a:path w="292" h="70">
                                <a:moveTo>
                                  <a:pt x="0" y="28"/>
                                </a:moveTo>
                                <a:lnTo>
                                  <a:pt x="292" y="0"/>
                                </a:lnTo>
                                <a:lnTo>
                                  <a:pt x="292" y="42"/>
                                </a:lnTo>
                                <a:lnTo>
                                  <a:pt x="0" y="70"/>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1237615" y="1497965"/>
                            <a:ext cx="53340" cy="35560"/>
                          </a:xfrm>
                          <a:custGeom>
                            <a:avLst/>
                            <a:gdLst>
                              <a:gd name="T0" fmla="*/ 0 w 84"/>
                              <a:gd name="T1" fmla="*/ 14 h 56"/>
                              <a:gd name="T2" fmla="*/ 84 w 84"/>
                              <a:gd name="T3" fmla="*/ 0 h 56"/>
                              <a:gd name="T4" fmla="*/ 84 w 84"/>
                              <a:gd name="T5" fmla="*/ 42 h 56"/>
                              <a:gd name="T6" fmla="*/ 0 w 84"/>
                              <a:gd name="T7" fmla="*/ 56 h 56"/>
                              <a:gd name="T8" fmla="*/ 0 w 84"/>
                              <a:gd name="T9" fmla="*/ 14 h 56"/>
                            </a:gdLst>
                            <a:ahLst/>
                            <a:cxnLst>
                              <a:cxn ang="0">
                                <a:pos x="T0" y="T1"/>
                              </a:cxn>
                              <a:cxn ang="0">
                                <a:pos x="T2" y="T3"/>
                              </a:cxn>
                              <a:cxn ang="0">
                                <a:pos x="T4" y="T5"/>
                              </a:cxn>
                              <a:cxn ang="0">
                                <a:pos x="T6" y="T7"/>
                              </a:cxn>
                              <a:cxn ang="0">
                                <a:pos x="T8" y="T9"/>
                              </a:cxn>
                            </a:cxnLst>
                            <a:rect l="0" t="0" r="r" b="b"/>
                            <a:pathLst>
                              <a:path w="84" h="56">
                                <a:moveTo>
                                  <a:pt x="0" y="14"/>
                                </a:moveTo>
                                <a:lnTo>
                                  <a:pt x="84" y="0"/>
                                </a:lnTo>
                                <a:lnTo>
                                  <a:pt x="84" y="42"/>
                                </a:lnTo>
                                <a:lnTo>
                                  <a:pt x="0" y="56"/>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46"/>
                        <wps:cNvSpPr>
                          <a:spLocks noChangeArrowheads="1"/>
                        </wps:cNvSpPr>
                        <wps:spPr bwMode="auto">
                          <a:xfrm>
                            <a:off x="1397000" y="1489075"/>
                            <a:ext cx="5334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1556385" y="1462405"/>
                            <a:ext cx="123825" cy="35560"/>
                          </a:xfrm>
                          <a:custGeom>
                            <a:avLst/>
                            <a:gdLst>
                              <a:gd name="T0" fmla="*/ 0 w 195"/>
                              <a:gd name="T1" fmla="*/ 14 h 56"/>
                              <a:gd name="T2" fmla="*/ 195 w 195"/>
                              <a:gd name="T3" fmla="*/ 0 h 56"/>
                              <a:gd name="T4" fmla="*/ 195 w 195"/>
                              <a:gd name="T5" fmla="*/ 42 h 56"/>
                              <a:gd name="T6" fmla="*/ 0 w 195"/>
                              <a:gd name="T7" fmla="*/ 56 h 56"/>
                              <a:gd name="T8" fmla="*/ 0 w 195"/>
                              <a:gd name="T9" fmla="*/ 14 h 56"/>
                            </a:gdLst>
                            <a:ahLst/>
                            <a:cxnLst>
                              <a:cxn ang="0">
                                <a:pos x="T0" y="T1"/>
                              </a:cxn>
                              <a:cxn ang="0">
                                <a:pos x="T2" y="T3"/>
                              </a:cxn>
                              <a:cxn ang="0">
                                <a:pos x="T4" y="T5"/>
                              </a:cxn>
                              <a:cxn ang="0">
                                <a:pos x="T6" y="T7"/>
                              </a:cxn>
                              <a:cxn ang="0">
                                <a:pos x="T8" y="T9"/>
                              </a:cxn>
                            </a:cxnLst>
                            <a:rect l="0" t="0" r="r" b="b"/>
                            <a:pathLst>
                              <a:path w="195" h="56">
                                <a:moveTo>
                                  <a:pt x="0" y="14"/>
                                </a:moveTo>
                                <a:lnTo>
                                  <a:pt x="195" y="0"/>
                                </a:lnTo>
                                <a:lnTo>
                                  <a:pt x="195" y="42"/>
                                </a:lnTo>
                                <a:lnTo>
                                  <a:pt x="0" y="56"/>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1671320" y="1444625"/>
                            <a:ext cx="70485" cy="44450"/>
                          </a:xfrm>
                          <a:custGeom>
                            <a:avLst/>
                            <a:gdLst>
                              <a:gd name="T0" fmla="*/ 0 w 111"/>
                              <a:gd name="T1" fmla="*/ 28 h 70"/>
                              <a:gd name="T2" fmla="*/ 97 w 111"/>
                              <a:gd name="T3" fmla="*/ 0 h 70"/>
                              <a:gd name="T4" fmla="*/ 111 w 111"/>
                              <a:gd name="T5" fmla="*/ 42 h 70"/>
                              <a:gd name="T6" fmla="*/ 14 w 111"/>
                              <a:gd name="T7" fmla="*/ 70 h 70"/>
                              <a:gd name="T8" fmla="*/ 0 w 111"/>
                              <a:gd name="T9" fmla="*/ 28 h 70"/>
                            </a:gdLst>
                            <a:ahLst/>
                            <a:cxnLst>
                              <a:cxn ang="0">
                                <a:pos x="T0" y="T1"/>
                              </a:cxn>
                              <a:cxn ang="0">
                                <a:pos x="T2" y="T3"/>
                              </a:cxn>
                              <a:cxn ang="0">
                                <a:pos x="T4" y="T5"/>
                              </a:cxn>
                              <a:cxn ang="0">
                                <a:pos x="T6" y="T7"/>
                              </a:cxn>
                              <a:cxn ang="0">
                                <a:pos x="T8" y="T9"/>
                              </a:cxn>
                            </a:cxnLst>
                            <a:rect l="0" t="0" r="r" b="b"/>
                            <a:pathLst>
                              <a:path w="111" h="70">
                                <a:moveTo>
                                  <a:pt x="0" y="28"/>
                                </a:moveTo>
                                <a:lnTo>
                                  <a:pt x="97" y="0"/>
                                </a:lnTo>
                                <a:lnTo>
                                  <a:pt x="111" y="42"/>
                                </a:lnTo>
                                <a:lnTo>
                                  <a:pt x="14" y="70"/>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1830070" y="1383030"/>
                            <a:ext cx="62230" cy="43815"/>
                          </a:xfrm>
                          <a:custGeom>
                            <a:avLst/>
                            <a:gdLst>
                              <a:gd name="T0" fmla="*/ 0 w 98"/>
                              <a:gd name="T1" fmla="*/ 27 h 69"/>
                              <a:gd name="T2" fmla="*/ 84 w 98"/>
                              <a:gd name="T3" fmla="*/ 0 h 69"/>
                              <a:gd name="T4" fmla="*/ 98 w 98"/>
                              <a:gd name="T5" fmla="*/ 41 h 69"/>
                              <a:gd name="T6" fmla="*/ 14 w 98"/>
                              <a:gd name="T7" fmla="*/ 69 h 69"/>
                              <a:gd name="T8" fmla="*/ 0 w 98"/>
                              <a:gd name="T9" fmla="*/ 27 h 69"/>
                            </a:gdLst>
                            <a:ahLst/>
                            <a:cxnLst>
                              <a:cxn ang="0">
                                <a:pos x="T0" y="T1"/>
                              </a:cxn>
                              <a:cxn ang="0">
                                <a:pos x="T2" y="T3"/>
                              </a:cxn>
                              <a:cxn ang="0">
                                <a:pos x="T4" y="T5"/>
                              </a:cxn>
                              <a:cxn ang="0">
                                <a:pos x="T6" y="T7"/>
                              </a:cxn>
                              <a:cxn ang="0">
                                <a:pos x="T8" y="T9"/>
                              </a:cxn>
                            </a:cxnLst>
                            <a:rect l="0" t="0" r="r" b="b"/>
                            <a:pathLst>
                              <a:path w="98" h="69">
                                <a:moveTo>
                                  <a:pt x="0" y="27"/>
                                </a:moveTo>
                                <a:lnTo>
                                  <a:pt x="84" y="0"/>
                                </a:lnTo>
                                <a:lnTo>
                                  <a:pt x="98" y="41"/>
                                </a:lnTo>
                                <a:lnTo>
                                  <a:pt x="14" y="69"/>
                                </a:lnTo>
                                <a:lnTo>
                                  <a:pt x="0"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1980565" y="1329690"/>
                            <a:ext cx="62230" cy="44450"/>
                          </a:xfrm>
                          <a:custGeom>
                            <a:avLst/>
                            <a:gdLst>
                              <a:gd name="T0" fmla="*/ 0 w 98"/>
                              <a:gd name="T1" fmla="*/ 28 h 70"/>
                              <a:gd name="T2" fmla="*/ 84 w 98"/>
                              <a:gd name="T3" fmla="*/ 0 h 70"/>
                              <a:gd name="T4" fmla="*/ 98 w 98"/>
                              <a:gd name="T5" fmla="*/ 42 h 70"/>
                              <a:gd name="T6" fmla="*/ 14 w 98"/>
                              <a:gd name="T7" fmla="*/ 70 h 70"/>
                              <a:gd name="T8" fmla="*/ 0 w 98"/>
                              <a:gd name="T9" fmla="*/ 28 h 70"/>
                            </a:gdLst>
                            <a:ahLst/>
                            <a:cxnLst>
                              <a:cxn ang="0">
                                <a:pos x="T0" y="T1"/>
                              </a:cxn>
                              <a:cxn ang="0">
                                <a:pos x="T2" y="T3"/>
                              </a:cxn>
                              <a:cxn ang="0">
                                <a:pos x="T4" y="T5"/>
                              </a:cxn>
                              <a:cxn ang="0">
                                <a:pos x="T6" y="T7"/>
                              </a:cxn>
                              <a:cxn ang="0">
                                <a:pos x="T8" y="T9"/>
                              </a:cxn>
                            </a:cxnLst>
                            <a:rect l="0" t="0" r="r" b="b"/>
                            <a:pathLst>
                              <a:path w="98" h="70">
                                <a:moveTo>
                                  <a:pt x="0" y="28"/>
                                </a:moveTo>
                                <a:lnTo>
                                  <a:pt x="84" y="0"/>
                                </a:lnTo>
                                <a:lnTo>
                                  <a:pt x="98" y="42"/>
                                </a:lnTo>
                                <a:lnTo>
                                  <a:pt x="14" y="70"/>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2131060" y="1223010"/>
                            <a:ext cx="185420" cy="97790"/>
                          </a:xfrm>
                          <a:custGeom>
                            <a:avLst/>
                            <a:gdLst>
                              <a:gd name="T0" fmla="*/ 0 w 292"/>
                              <a:gd name="T1" fmla="*/ 112 h 154"/>
                              <a:gd name="T2" fmla="*/ 278 w 292"/>
                              <a:gd name="T3" fmla="*/ 0 h 154"/>
                              <a:gd name="T4" fmla="*/ 292 w 292"/>
                              <a:gd name="T5" fmla="*/ 42 h 154"/>
                              <a:gd name="T6" fmla="*/ 14 w 292"/>
                              <a:gd name="T7" fmla="*/ 154 h 154"/>
                              <a:gd name="T8" fmla="*/ 0 w 292"/>
                              <a:gd name="T9" fmla="*/ 112 h 154"/>
                            </a:gdLst>
                            <a:ahLst/>
                            <a:cxnLst>
                              <a:cxn ang="0">
                                <a:pos x="T0" y="T1"/>
                              </a:cxn>
                              <a:cxn ang="0">
                                <a:pos x="T2" y="T3"/>
                              </a:cxn>
                              <a:cxn ang="0">
                                <a:pos x="T4" y="T5"/>
                              </a:cxn>
                              <a:cxn ang="0">
                                <a:pos x="T6" y="T7"/>
                              </a:cxn>
                              <a:cxn ang="0">
                                <a:pos x="T8" y="T9"/>
                              </a:cxn>
                            </a:cxnLst>
                            <a:rect l="0" t="0" r="r" b="b"/>
                            <a:pathLst>
                              <a:path w="292" h="154">
                                <a:moveTo>
                                  <a:pt x="0" y="112"/>
                                </a:moveTo>
                                <a:lnTo>
                                  <a:pt x="278" y="0"/>
                                </a:lnTo>
                                <a:lnTo>
                                  <a:pt x="292" y="42"/>
                                </a:lnTo>
                                <a:lnTo>
                                  <a:pt x="14" y="154"/>
                                </a:lnTo>
                                <a:lnTo>
                                  <a:pt x="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946150" y="1480185"/>
                            <a:ext cx="1467485" cy="141605"/>
                          </a:xfrm>
                          <a:custGeom>
                            <a:avLst/>
                            <a:gdLst>
                              <a:gd name="T0" fmla="*/ 0 w 166"/>
                              <a:gd name="T1" fmla="*/ 16 h 16"/>
                              <a:gd name="T2" fmla="*/ 83 w 166"/>
                              <a:gd name="T3" fmla="*/ 0 h 16"/>
                              <a:gd name="T4" fmla="*/ 166 w 166"/>
                              <a:gd name="T5" fmla="*/ 4 h 16"/>
                            </a:gdLst>
                            <a:ahLst/>
                            <a:cxnLst>
                              <a:cxn ang="0">
                                <a:pos x="T0" y="T1"/>
                              </a:cxn>
                              <a:cxn ang="0">
                                <a:pos x="T2" y="T3"/>
                              </a:cxn>
                              <a:cxn ang="0">
                                <a:pos x="T4" y="T5"/>
                              </a:cxn>
                            </a:cxnLst>
                            <a:rect l="0" t="0" r="r" b="b"/>
                            <a:pathLst>
                              <a:path w="166" h="16">
                                <a:moveTo>
                                  <a:pt x="0" y="16"/>
                                </a:moveTo>
                                <a:lnTo>
                                  <a:pt x="83" y="0"/>
                                </a:lnTo>
                                <a:lnTo>
                                  <a:pt x="166" y="4"/>
                                </a:lnTo>
                              </a:path>
                            </a:pathLst>
                          </a:custGeom>
                          <a:noFill/>
                          <a:ln w="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3"/>
                        <wps:cNvSpPr>
                          <a:spLocks noChangeArrowheads="1"/>
                        </wps:cNvSpPr>
                        <wps:spPr bwMode="auto">
                          <a:xfrm>
                            <a:off x="100013" y="132715"/>
                            <a:ext cx="7465060"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pPr>
                                <w:spacing w:line="240" w:lineRule="auto"/>
                                <w:rPr>
                                  <w:b/>
                                  <w:bCs/>
                                  <w:color w:val="000000"/>
                                  <w:sz w:val="18"/>
                                  <w:szCs w:val="18"/>
                                  <w:lang w:val="en-US"/>
                                </w:rPr>
                              </w:pPr>
                              <w:r w:rsidRPr="00335ED9">
                                <w:rPr>
                                  <w:b/>
                                  <w:bCs/>
                                  <w:color w:val="000000"/>
                                  <w:sz w:val="18"/>
                                  <w:szCs w:val="18"/>
                                  <w:lang w:val="en-US"/>
                                </w:rPr>
                                <w:t>Figure 5: Gazettal date of scheme by Actual Net Residential Density category Station precincts:</w:t>
                              </w:r>
                            </w:p>
                            <w:p w:rsidR="00335ED9" w:rsidRPr="00335ED9" w:rsidRDefault="00335ED9" w:rsidP="00335ED9">
                              <w:pPr>
                                <w:spacing w:line="240" w:lineRule="auto"/>
                                <w:rPr>
                                  <w:sz w:val="18"/>
                                  <w:szCs w:val="18"/>
                                </w:rPr>
                              </w:pPr>
                              <w:r w:rsidRPr="00335ED9">
                                <w:rPr>
                                  <w:b/>
                                  <w:bCs/>
                                  <w:color w:val="000000"/>
                                  <w:sz w:val="18"/>
                                  <w:szCs w:val="18"/>
                                  <w:lang w:val="en-US"/>
                                </w:rPr>
                                <w:t>Residential development at 2007</w:t>
                              </w:r>
                            </w:p>
                          </w:txbxContent>
                        </wps:txbx>
                        <wps:bodyPr rot="0" vert="horz" wrap="square" lIns="0" tIns="0" rIns="0" bIns="0" anchor="t" anchorCtr="0" upright="1">
                          <a:noAutofit/>
                        </wps:bodyPr>
                      </wps:wsp>
                      <wps:wsp>
                        <wps:cNvPr id="54" name="Rectangle 54"/>
                        <wps:cNvSpPr>
                          <a:spLocks noChangeArrowheads="1"/>
                        </wps:cNvSpPr>
                        <wps:spPr bwMode="auto">
                          <a:xfrm>
                            <a:off x="424180" y="155130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0</w:t>
                              </w:r>
                            </w:p>
                          </w:txbxContent>
                        </wps:txbx>
                        <wps:bodyPr rot="0" vert="horz" wrap="none" lIns="0" tIns="0" rIns="0" bIns="0" anchor="t" anchorCtr="0" upright="1">
                          <a:spAutoFit/>
                        </wps:bodyPr>
                      </wps:wsp>
                      <wps:wsp>
                        <wps:cNvPr id="55" name="Rectangle 55"/>
                        <wps:cNvSpPr>
                          <a:spLocks noChangeArrowheads="1"/>
                        </wps:cNvSpPr>
                        <wps:spPr bwMode="auto">
                          <a:xfrm>
                            <a:off x="424180" y="1374140"/>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5</w:t>
                              </w:r>
                            </w:p>
                          </w:txbxContent>
                        </wps:txbx>
                        <wps:bodyPr rot="0" vert="horz" wrap="none" lIns="0" tIns="0" rIns="0" bIns="0" anchor="t" anchorCtr="0" upright="1">
                          <a:spAutoFit/>
                        </wps:bodyPr>
                      </wps:wsp>
                      <wps:wsp>
                        <wps:cNvPr id="56" name="Rectangle 56"/>
                        <wps:cNvSpPr>
                          <a:spLocks noChangeArrowheads="1"/>
                        </wps:cNvSpPr>
                        <wps:spPr bwMode="auto">
                          <a:xfrm>
                            <a:off x="362585" y="1205230"/>
                            <a:ext cx="127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10</w:t>
                              </w:r>
                            </w:p>
                          </w:txbxContent>
                        </wps:txbx>
                        <wps:bodyPr rot="0" vert="horz" wrap="none" lIns="0" tIns="0" rIns="0" bIns="0" anchor="t" anchorCtr="0" upright="1">
                          <a:spAutoFit/>
                        </wps:bodyPr>
                      </wps:wsp>
                      <wps:wsp>
                        <wps:cNvPr id="57" name="Rectangle 57"/>
                        <wps:cNvSpPr>
                          <a:spLocks noChangeArrowheads="1"/>
                        </wps:cNvSpPr>
                        <wps:spPr bwMode="auto">
                          <a:xfrm>
                            <a:off x="362585" y="1028065"/>
                            <a:ext cx="127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15</w:t>
                              </w:r>
                            </w:p>
                          </w:txbxContent>
                        </wps:txbx>
                        <wps:bodyPr rot="0" vert="horz" wrap="none" lIns="0" tIns="0" rIns="0" bIns="0" anchor="t" anchorCtr="0" upright="1">
                          <a:spAutoFit/>
                        </wps:bodyPr>
                      </wps:wsp>
                      <wps:wsp>
                        <wps:cNvPr id="58" name="Rectangle 58"/>
                        <wps:cNvSpPr>
                          <a:spLocks noChangeArrowheads="1"/>
                        </wps:cNvSpPr>
                        <wps:spPr bwMode="auto">
                          <a:xfrm>
                            <a:off x="362585" y="850900"/>
                            <a:ext cx="127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20</w:t>
                              </w:r>
                            </w:p>
                          </w:txbxContent>
                        </wps:txbx>
                        <wps:bodyPr rot="0" vert="horz" wrap="none" lIns="0" tIns="0" rIns="0" bIns="0" anchor="t" anchorCtr="0" upright="1">
                          <a:spAutoFit/>
                        </wps:bodyPr>
                      </wps:wsp>
                      <wps:wsp>
                        <wps:cNvPr id="59" name="Rectangle 59"/>
                        <wps:cNvSpPr>
                          <a:spLocks noChangeArrowheads="1"/>
                        </wps:cNvSpPr>
                        <wps:spPr bwMode="auto">
                          <a:xfrm>
                            <a:off x="362585" y="682625"/>
                            <a:ext cx="127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25</w:t>
                              </w:r>
                            </w:p>
                          </w:txbxContent>
                        </wps:txbx>
                        <wps:bodyPr rot="0" vert="horz" wrap="none" lIns="0" tIns="0" rIns="0" bIns="0" anchor="t" anchorCtr="0" upright="1">
                          <a:spAutoFit/>
                        </wps:bodyPr>
                      </wps:wsp>
                      <wps:wsp>
                        <wps:cNvPr id="60" name="Rectangle 60"/>
                        <wps:cNvSpPr>
                          <a:spLocks noChangeArrowheads="1"/>
                        </wps:cNvSpPr>
                        <wps:spPr bwMode="auto">
                          <a:xfrm>
                            <a:off x="362585" y="505460"/>
                            <a:ext cx="127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30</w:t>
                              </w:r>
                            </w:p>
                          </w:txbxContent>
                        </wps:txbx>
                        <wps:bodyPr rot="0" vert="horz" wrap="none" lIns="0" tIns="0" rIns="0" bIns="0" anchor="t" anchorCtr="0" upright="1">
                          <a:spAutoFit/>
                        </wps:bodyPr>
                      </wps:wsp>
                      <wps:wsp>
                        <wps:cNvPr id="61" name="Rectangle 61"/>
                        <wps:cNvSpPr>
                          <a:spLocks noChangeArrowheads="1"/>
                        </wps:cNvSpPr>
                        <wps:spPr bwMode="auto">
                          <a:xfrm>
                            <a:off x="698500" y="1719580"/>
                            <a:ext cx="4641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 xml:space="preserve">Pre 1988 </w:t>
                              </w:r>
                            </w:p>
                          </w:txbxContent>
                        </wps:txbx>
                        <wps:bodyPr rot="0" vert="horz" wrap="none" lIns="0" tIns="0" rIns="0" bIns="0" anchor="t" anchorCtr="0" upright="1">
                          <a:spAutoFit/>
                        </wps:bodyPr>
                      </wps:wsp>
                      <wps:wsp>
                        <wps:cNvPr id="62" name="Rectangle 62"/>
                        <wps:cNvSpPr>
                          <a:spLocks noChangeArrowheads="1"/>
                        </wps:cNvSpPr>
                        <wps:spPr bwMode="auto">
                          <a:xfrm>
                            <a:off x="1370330" y="1719580"/>
                            <a:ext cx="635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1988 – 1998</w:t>
                              </w:r>
                            </w:p>
                          </w:txbxContent>
                        </wps:txbx>
                        <wps:bodyPr rot="0" vert="horz" wrap="none" lIns="0" tIns="0" rIns="0" bIns="0" anchor="t" anchorCtr="0" upright="1">
                          <a:spAutoFit/>
                        </wps:bodyPr>
                      </wps:wsp>
                      <wps:wsp>
                        <wps:cNvPr id="63" name="Rectangle 63"/>
                        <wps:cNvSpPr>
                          <a:spLocks noChangeArrowheads="1"/>
                        </wps:cNvSpPr>
                        <wps:spPr bwMode="auto">
                          <a:xfrm>
                            <a:off x="2104390" y="1719580"/>
                            <a:ext cx="635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1999 – 2005</w:t>
                              </w:r>
                            </w:p>
                          </w:txbxContent>
                        </wps:txbx>
                        <wps:bodyPr rot="0" vert="horz" wrap="none" lIns="0" tIns="0" rIns="0" bIns="0" anchor="t" anchorCtr="0" upright="1">
                          <a:spAutoFit/>
                        </wps:bodyPr>
                      </wps:wsp>
                      <wps:wsp>
                        <wps:cNvPr id="64" name="Rectangle 64"/>
                        <wps:cNvSpPr>
                          <a:spLocks noChangeArrowheads="1"/>
                        </wps:cNvSpPr>
                        <wps:spPr bwMode="auto">
                          <a:xfrm>
                            <a:off x="768985" y="1923415"/>
                            <a:ext cx="17532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b/>
                                  <w:bCs/>
                                  <w:color w:val="000000"/>
                                  <w:sz w:val="18"/>
                                  <w:szCs w:val="18"/>
                                  <w:lang w:val="en-US"/>
                                </w:rPr>
                                <w:t xml:space="preserve">Date scheme adopted relative to </w:t>
                              </w:r>
                            </w:p>
                          </w:txbxContent>
                        </wps:txbx>
                        <wps:bodyPr rot="0" vert="horz" wrap="none" lIns="0" tIns="0" rIns="0" bIns="0" anchor="t" anchorCtr="0" upright="1">
                          <a:spAutoFit/>
                        </wps:bodyPr>
                      </wps:wsp>
                      <wps:wsp>
                        <wps:cNvPr id="65" name="Rectangle 65"/>
                        <wps:cNvSpPr>
                          <a:spLocks noChangeArrowheads="1"/>
                        </wps:cNvSpPr>
                        <wps:spPr bwMode="auto">
                          <a:xfrm>
                            <a:off x="751840" y="2073910"/>
                            <a:ext cx="17976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b/>
                                  <w:bCs/>
                                  <w:color w:val="000000"/>
                                  <w:sz w:val="18"/>
                                  <w:szCs w:val="18"/>
                                  <w:lang w:val="en-US"/>
                                </w:rPr>
                                <w:t>State development control policy</w:t>
                              </w:r>
                            </w:p>
                          </w:txbxContent>
                        </wps:txbx>
                        <wps:bodyPr rot="0" vert="horz" wrap="none" lIns="0" tIns="0" rIns="0" bIns="0" anchor="t" anchorCtr="0" upright="1">
                          <a:spAutoFit/>
                        </wps:bodyPr>
                      </wps:wsp>
                      <wps:wsp>
                        <wps:cNvPr id="66" name="Rectangle 66"/>
                        <wps:cNvSpPr>
                          <a:spLocks noChangeArrowheads="1"/>
                        </wps:cNvSpPr>
                        <wps:spPr bwMode="auto">
                          <a:xfrm rot="16200000">
                            <a:off x="-269875" y="996315"/>
                            <a:ext cx="10020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b/>
                                  <w:bCs/>
                                  <w:color w:val="000000"/>
                                  <w:sz w:val="18"/>
                                  <w:szCs w:val="18"/>
                                  <w:lang w:val="en-US"/>
                                </w:rPr>
                                <w:t>No. precincts</w:t>
                              </w:r>
                            </w:p>
                          </w:txbxContent>
                        </wps:txbx>
                        <wps:bodyPr rot="0" vert="vert270" wrap="square" lIns="0" tIns="0" rIns="0" bIns="0" anchor="t" anchorCtr="0" upright="1">
                          <a:noAutofit/>
                        </wps:bodyPr>
                      </wps:wsp>
                      <wps:wsp>
                        <wps:cNvPr id="67" name="Rectangle 67"/>
                        <wps:cNvSpPr>
                          <a:spLocks noChangeArrowheads="1"/>
                        </wps:cNvSpPr>
                        <wps:spPr bwMode="auto">
                          <a:xfrm>
                            <a:off x="2882265" y="602615"/>
                            <a:ext cx="1370965" cy="9842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68" name="Rectangle 68"/>
                        <wps:cNvSpPr>
                          <a:spLocks noChangeArrowheads="1"/>
                        </wps:cNvSpPr>
                        <wps:spPr bwMode="auto">
                          <a:xfrm>
                            <a:off x="2926715" y="682625"/>
                            <a:ext cx="5334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noChangeArrowheads="1"/>
                        </wps:cNvSpPr>
                        <wps:spPr bwMode="auto">
                          <a:xfrm>
                            <a:off x="3086100" y="682625"/>
                            <a:ext cx="52705"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0"/>
                        <wps:cNvSpPr>
                          <a:spLocks noChangeArrowheads="1"/>
                        </wps:cNvSpPr>
                        <wps:spPr bwMode="auto">
                          <a:xfrm>
                            <a:off x="3244850" y="682625"/>
                            <a:ext cx="889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3280410" y="629285"/>
                            <a:ext cx="921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Actual Net density</w:t>
                              </w:r>
                            </w:p>
                          </w:txbxContent>
                        </wps:txbx>
                        <wps:bodyPr rot="0" vert="horz" wrap="none" lIns="0" tIns="0" rIns="0" bIns="0" anchor="t" anchorCtr="0" upright="1">
                          <a:spAutoFit/>
                        </wps:bodyPr>
                      </wps:wsp>
                      <wps:wsp>
                        <wps:cNvPr id="72" name="Rectangle 72"/>
                        <wps:cNvSpPr>
                          <a:spLocks noChangeArrowheads="1"/>
                        </wps:cNvSpPr>
                        <wps:spPr bwMode="auto">
                          <a:xfrm>
                            <a:off x="3280410" y="770890"/>
                            <a:ext cx="51181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&lt;10 du/ha</w:t>
                              </w:r>
                            </w:p>
                          </w:txbxContent>
                        </wps:txbx>
                        <wps:bodyPr rot="0" vert="horz" wrap="none" lIns="0" tIns="0" rIns="0" bIns="0" anchor="t" anchorCtr="0" upright="1">
                          <a:spAutoFit/>
                        </wps:bodyPr>
                      </wps:wsp>
                      <wps:wsp>
                        <wps:cNvPr id="73" name="Rectangle 73"/>
                        <wps:cNvSpPr>
                          <a:spLocks noChangeArrowheads="1"/>
                        </wps:cNvSpPr>
                        <wps:spPr bwMode="auto">
                          <a:xfrm>
                            <a:off x="2926715" y="1010285"/>
                            <a:ext cx="18542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4"/>
                        <wps:cNvSpPr>
                          <a:spLocks noChangeArrowheads="1"/>
                        </wps:cNvSpPr>
                        <wps:spPr bwMode="auto">
                          <a:xfrm>
                            <a:off x="3218180" y="1010285"/>
                            <a:ext cx="35560" cy="26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5"/>
                        <wps:cNvSpPr>
                          <a:spLocks noChangeArrowheads="1"/>
                        </wps:cNvSpPr>
                        <wps:spPr bwMode="auto">
                          <a:xfrm>
                            <a:off x="3280410" y="957580"/>
                            <a:ext cx="921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Actual Net density</w:t>
                              </w:r>
                            </w:p>
                          </w:txbxContent>
                        </wps:txbx>
                        <wps:bodyPr rot="0" vert="horz" wrap="none" lIns="0" tIns="0" rIns="0" bIns="0" anchor="t" anchorCtr="0" upright="1">
                          <a:spAutoFit/>
                        </wps:bodyPr>
                      </wps:wsp>
                      <wps:wsp>
                        <wps:cNvPr id="76" name="Rectangle 76"/>
                        <wps:cNvSpPr>
                          <a:spLocks noChangeArrowheads="1"/>
                        </wps:cNvSpPr>
                        <wps:spPr bwMode="auto">
                          <a:xfrm>
                            <a:off x="3280410" y="1099185"/>
                            <a:ext cx="673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10 - 15 du/ha</w:t>
                              </w:r>
                            </w:p>
                          </w:txbxContent>
                        </wps:txbx>
                        <wps:bodyPr rot="0" vert="horz" wrap="none" lIns="0" tIns="0" rIns="0" bIns="0" anchor="t" anchorCtr="0" upright="1">
                          <a:spAutoFit/>
                        </wps:bodyPr>
                      </wps:wsp>
                      <wps:wsp>
                        <wps:cNvPr id="77" name="Line 77"/>
                        <wps:cNvCnPr/>
                        <wps:spPr bwMode="auto">
                          <a:xfrm>
                            <a:off x="2926715" y="1365250"/>
                            <a:ext cx="327025" cy="635"/>
                          </a:xfrm>
                          <a:prstGeom prst="line">
                            <a:avLst/>
                          </a:prstGeom>
                          <a:noFill/>
                          <a:ln w="28">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78"/>
                        <wps:cNvSpPr>
                          <a:spLocks noChangeArrowheads="1"/>
                        </wps:cNvSpPr>
                        <wps:spPr bwMode="auto">
                          <a:xfrm>
                            <a:off x="3280410" y="1285240"/>
                            <a:ext cx="921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Actual Net density</w:t>
                              </w:r>
                            </w:p>
                          </w:txbxContent>
                        </wps:txbx>
                        <wps:bodyPr rot="0" vert="horz" wrap="none" lIns="0" tIns="0" rIns="0" bIns="0" anchor="t" anchorCtr="0" upright="1">
                          <a:spAutoFit/>
                        </wps:bodyPr>
                      </wps:wsp>
                      <wps:wsp>
                        <wps:cNvPr id="79" name="Rectangle 79"/>
                        <wps:cNvSpPr>
                          <a:spLocks noChangeArrowheads="1"/>
                        </wps:cNvSpPr>
                        <wps:spPr bwMode="auto">
                          <a:xfrm>
                            <a:off x="3280410" y="1426845"/>
                            <a:ext cx="51181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D9" w:rsidRDefault="00335ED9" w:rsidP="00335ED9">
                              <w:r>
                                <w:rPr>
                                  <w:color w:val="000000"/>
                                  <w:sz w:val="18"/>
                                  <w:szCs w:val="18"/>
                                  <w:lang w:val="en-US"/>
                                </w:rPr>
                                <w:t>&gt;15 du/ha</w:t>
                              </w:r>
                            </w:p>
                          </w:txbxContent>
                        </wps:txbx>
                        <wps:bodyPr rot="0" vert="horz" wrap="none" lIns="0" tIns="0" rIns="0" bIns="0" anchor="t" anchorCtr="0" upright="1">
                          <a:spAutoFit/>
                        </wps:bodyPr>
                      </wps:wsp>
                      <wps:wsp>
                        <wps:cNvPr id="80" name="Rectangle 80"/>
                        <wps:cNvSpPr>
                          <a:spLocks noChangeArrowheads="1"/>
                        </wps:cNvSpPr>
                        <wps:spPr bwMode="auto">
                          <a:xfrm>
                            <a:off x="44450" y="44450"/>
                            <a:ext cx="5713413" cy="2304415"/>
                          </a:xfrm>
                          <a:prstGeom prst="rect">
                            <a:avLst/>
                          </a:pr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9" o:spid="_x0000_s1026" editas="canvas" style="width:595.7pt;height:188.45pt;mso-position-horizontal-relative:char;mso-position-vertical-relative:line" coordsize="75653,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53;height:23933;visibility:visible;mso-wrap-style:square">
                  <v:fill o:detectmouseclick="t"/>
                  <v:path o:connecttype="none"/>
                </v:shape>
                <v:rect id="Rectangle 11" o:spid="_x0000_s1028" style="position:absolute;top:889;width:57578;height:2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BksIA&#10;AADaAAAADwAAAGRycy9kb3ducmV2LnhtbESP0WoCMRRE3wX/IVyhb5pVSrGrUdRSsA9F3foBl811&#10;s7q5CZtUt3/fCIKPw8ycYebLzjbiSm2oHSsYjzIQxKXTNVcKjj+fwymIEJE1No5JwR8FWC76vTnm&#10;2t34QNciViJBOOSowMTocylDachiGDlPnLyTay3GJNtK6hZvCW4bOcmyN2mx5rRg0NPGUHkpfq0C&#10;8n6729uz/TpPv18/TrEr1uag1MugW81AROriM/xob7WCd7hfS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VcGSwgAAANoAAAAPAAAAAAAAAAAAAAAAAJgCAABkcnMvZG93&#10;bnJldi54bWxQSwUGAAAAAAQABAD1AAAAhwMAAAAA&#10;" strokeweight="39e-5mm"/>
                <v:rect id="Rectangle 12" o:spid="_x0000_s1029" style="position:absolute;left:5746;top:5759;width:22105;height:10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Jqr8A&#10;AADbAAAADwAAAGRycy9kb3ducmV2LnhtbERPTWvCQBC9F/wPyxS81U2jSImuIkKrt6IWz0N2mqRm&#10;Z8PuqPHfdwXB2zze58yXvWvVhUJsPBt4H2WgiEtvG64M/Bw+3z5ARUG22HomAzeKsFwMXuZYWH/l&#10;HV32UqkUwrFAA7VIV2gdy5ocxpHviBP364NDSTBU2ga8pnDX6jzLptphw6mhxo7WNZWn/dkZ0Idp&#10;kNN4Mv7bScxX7vy1+S6Pxgxf+9UMlFAvT/HDvbVpfg73X9IB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hgmqvwAAANsAAAAPAAAAAAAAAAAAAAAAAJgCAABkcnMvZG93bnJl&#10;di54bWxQSwUGAAAAAAQABAD1AAAAhAMAAAAA&#10;" fillcolor="silver" stroked="f"/>
                <v:line id="Line 13" o:spid="_x0000_s1030" style="position:absolute;visibility:visible;mso-wrap-style:square" from="5746,14446" to="27851,1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UTX8IAAADbAAAADwAAAGRycy9kb3ducmV2LnhtbERPTWvCQBC9C/6HZQRvdaNSm8asImKx&#10;3lproMchOyaL2dmQ3Wr677tCwds83ufk69424kqdN44VTCcJCOLSacOVgtPX21MKwgdkjY1jUvBL&#10;Htar4SDHTLsbf9L1GCoRQ9hnqKAOoc2k9GVNFv3EtcSRO7vOYoiwq6Tu8BbDbSNnSbKQFg3Hhhpb&#10;2tZUXo4/VoH5WOyfDy/FayF3+zD9Ti+psSelxqN+swQRqA8P8b/7Xcf5c7j/E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UTX8IAAADbAAAADwAAAAAAAAAAAAAA&#10;AAChAgAAZHJzL2Rvd25yZXYueG1sUEsFBgAAAAAEAAQA+QAAAJADAAAAAA==&#10;" strokeweight="0"/>
                <v:line id="Line 14" o:spid="_x0000_s1031" style="position:absolute;visibility:visible;mso-wrap-style:square" from="5746,12763" to="27851,1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LK8IAAADbAAAADwAAAGRycy9kb3ducmV2LnhtbERPTWvCQBC9C/6HZQRvdaNYm8asImKx&#10;3lproMchOyaL2dmQ3Wr677tCwds83ufk69424kqdN44VTCcJCOLSacOVgtPX21MKwgdkjY1jUvBL&#10;Htar4SDHTLsbf9L1GCoRQ9hnqKAOoc2k9GVNFv3EtcSRO7vOYoiwq6Tu8BbDbSNnSbKQFg3Hhhpb&#10;2tZUXo4/VoH5WOyfDy/FayF3+zD9Ti+psSelxqN+swQRqA8P8b/7Xcf5c7j/E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yLK8IAAADbAAAADwAAAAAAAAAAAAAA&#10;AAChAgAAZHJzL2Rvd25yZXYueG1sUEsFBgAAAAAEAAQA+QAAAJADAAAAAA==&#10;" strokeweight="0"/>
                <v:line id="Line 15" o:spid="_x0000_s1032" style="position:absolute;visibility:visible;mso-wrap-style:square" from="5746,10991" to="27851,10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usMAAAADbAAAADwAAAGRycy9kb3ducmV2LnhtbERPS4vCMBC+L/gfwgje1lRBt1ajiCju&#10;3tYXeByasQ02k9JE7f77jSB4m4/vObNFaytxp8YbxwoG/QQEce604ULB8bD5TEH4gKyxckwK/sjD&#10;Yt75mGGm3YN3dN+HQsQQ9hkqKEOoMyl9XpJF33c1ceQurrEYImwKqRt8xHBbyWGSjKVFw7GhxJpW&#10;JeXX/c0qML/j7ejn6zQ5yfU2DM7pNTX2qFSv2y6nIAK14S1+ub91nD+C5y/xAD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wLrDAAAAA2wAAAA8AAAAAAAAAAAAAAAAA&#10;oQIAAGRycy9kb3ducmV2LnhtbFBLBQYAAAAABAAEAPkAAACOAwAAAAA=&#10;" strokeweight="0"/>
                <v:line id="Line 16" o:spid="_x0000_s1033" style="position:absolute;visibility:visible;mso-wrap-style:square" from="5746,9220" to="2785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line id="Line 17" o:spid="_x0000_s1034" style="position:absolute;visibility:visible;mso-wrap-style:square" from="5746,7531" to="27851,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4VXMAAAADbAAAADwAAAGRycy9kb3ducmV2LnhtbERPTYvCMBC9C/sfwix409QFtVuNsiyK&#10;elNXwePQzLbBZlKaqPXfG0HwNo/3OdN5aytxpcYbxwoG/QQEce604ULB4W/ZS0H4gKyxckwK7uRh&#10;PvvoTDHT7sY7uu5DIWII+wwVlCHUmZQ+L8mi77uaOHL/rrEYImwKqRu8xXBbya8kGUmLhmNDiTX9&#10;lpSf9xerwGxHq+FmfPw+ysUqDE7pOTX2oFT3s/2ZgAjUhrf45V7rOH8Mz1/iAXL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uFVzAAAAA2wAAAA8AAAAAAAAAAAAAAAAA&#10;oQIAAGRycy9kb3ducmV2LnhtbFBLBQYAAAAABAAEAPkAAACOAwAAAAA=&#10;" strokeweight="0"/>
                <v:line id="Line 18" o:spid="_x0000_s1035" style="position:absolute;visibility:visible;mso-wrap-style:square" from="5746,5759" to="27851,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BLsQAAADbAAAADwAAAGRycy9kb3ducmV2LnhtbESPQWvCQBCF74L/YRmhN91YqI3RVURa&#10;bG9tquBxyI7JYnY2ZLea/vvOodDbDO/Ne9+st4Nv1Y366AIbmM8yUMRVsI5rA8ev12kOKiZki21g&#10;MvBDEbab8WiNhQ13/qRbmWolIRwLNNCk1BVax6ohj3EWOmLRLqH3mGTta217vEu4b/Vjli20R8fS&#10;0GBH+4aqa/ntDbiPxeHp/fm0POmXQ5qf82vu/NGYh8mwW4FKNKR/89/1mxV8gZV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8YEuxAAAANsAAAAPAAAAAAAAAAAA&#10;AAAAAKECAABkcnMvZG93bnJldi54bWxQSwUGAAAAAAQABAD5AAAAkgMAAAAA&#10;" strokeweight="0"/>
                <v:rect id="Rectangle 19" o:spid="_x0000_s1036" style="position:absolute;left:5746;top:5759;width:22105;height:10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ZAgcIA&#10;AADbAAAADwAAAGRycy9kb3ducmV2LnhtbERPzWrCQBC+F/oOyxR6CXWjh6Kpq7RFSy8WjX2AMTvN&#10;hmZnQ3bU+PZuoeBtPr7fmS8H36oT9bEJbGA8ykERV8E2XBv43q+fpqCiIFtsA5OBC0VYLu7v5ljY&#10;cOYdnUqpVQrhWKABJ9IVWsfKkcc4Ch1x4n5C71ES7GttezyncN/qSZ4/a48NpwaHHb07qn7LozdQ&#10;Tg+Z3r6tZh9ZLYfdepPJxX0Z8/gwvL6AEhrkJv53f9o0fwZ/v6QD9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kCBwgAAANsAAAAPAAAAAAAAAAAAAAAAAJgCAABkcnMvZG93&#10;bnJldi54bWxQSwUGAAAAAAQABAD1AAAAhwMAAAAA&#10;" filled="f" strokecolor="gray" strokeweight="39e-5mm"/>
                <v:line id="Line 20" o:spid="_x0000_s1037" style="position:absolute;visibility:visible;mso-wrap-style:square" from="5746,5759" to="5753,16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Hlb8AAADbAAAADwAAAGRycy9kb3ducmV2LnhtbERPy4rCMBTdD/gP4QruxlRBrdUoIg6O&#10;O5/g8tJc22BzU5qMdv7eLASXh/OeL1tbiQc13jhWMOgnIIhzpw0XCs6nn+8UhA/IGivHpOCfPCwX&#10;na85Zto9+UCPYyhEDGGfoYIyhDqT0uclWfR9VxNH7uYaiyHCppC6wWcMt5UcJslYWjQcG0qsaV1S&#10;fj/+WQVmP96OdpPL9CI32zC4pvfU2LNSvW67moEI1IaP+O3+1QqGcX3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tHlb8AAADbAAAADwAAAAAAAAAAAAAAAACh&#10;AgAAZHJzL2Rvd25yZXYueG1sUEsFBgAAAAAEAAQA+QAAAI0DAAAAAA==&#10;" strokeweight="0"/>
                <v:line id="Line 21" o:spid="_x0000_s1038" style="position:absolute;visibility:visible;mso-wrap-style:square" from="5391,16217" to="5746,1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iDsMAAADbAAAADwAAAGRycy9kb3ducmV2LnhtbESPQWvCQBSE70L/w/IK3nQTQU1TVyml&#10;Rb1pqtDjI/uaLGbfhuxW4793BcHjMDPfMItVbxtxps4bxwrScQKCuHTacKXg8PM9ykD4gKyxcUwK&#10;ruRhtXwZLDDX7sJ7OhehEhHCPkcFdQhtLqUva7Lox64ljt6f6yyGKLtK6g4vEW4bOUmSmbRoOC7U&#10;2NJnTeWp+LcKzG62nm7nx7ej/FqH9Dc7ZcYelBq+9h/vIAL14Rl+tDdawSSF+5f4A+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n4g7DAAAA2wAAAA8AAAAAAAAAAAAA&#10;AAAAoQIAAGRycy9kb3ducmV2LnhtbFBLBQYAAAAABAAEAPkAAACRAwAAAAA=&#10;" strokeweight="0"/>
                <v:line id="Line 22" o:spid="_x0000_s1039" style="position:absolute;visibility:visible;mso-wrap-style:square" from="5391,14446" to="5746,1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8ecMAAADbAAAADwAAAGRycy9kb3ducmV2LnhtbESPT4vCMBTE7wt+h/AW9ramFlZr1ygi&#10;iuvNv7DHR/O2DTYvpYna/fZGEDwOM/MbZjLrbC2u1HrjWMGgn4AgLpw2XCo4HlafGQgfkDXWjknB&#10;P3mYTXtvE8y1u/GOrvtQighhn6OCKoQml9IXFVn0fdcQR+/PtRZDlG0pdYu3CLe1TJNkKC0ajgsV&#10;NrSoqDjvL1aB2Q7XX5vRaXySy3UY/GbnzNijUh/v3fwbRKAuvMLP9o9WkKbw+BJ/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1fHnDAAAA2wAAAA8AAAAAAAAAAAAA&#10;AAAAoQIAAGRycy9kb3ducmV2LnhtbFBLBQYAAAAABAAEAPkAAACRAwAAAAA=&#10;" strokeweight="0"/>
                <v:line id="Line 23" o:spid="_x0000_s1040" style="position:absolute;visibility:visible;mso-wrap-style:square" from="5391,12763" to="5746,1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4sQAAADbAAAADwAAAGRycy9kb3ducmV2LnhtbESPQWvCQBSE74X+h+UJvdWNF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dnixAAAANsAAAAPAAAAAAAAAAAA&#10;AAAAAKECAABkcnMvZG93bnJldi54bWxQSwUGAAAAAAQABAD5AAAAkgMAAAAA&#10;" strokeweight="0"/>
                <v:line id="Line 24" o:spid="_x0000_s1041" style="position:absolute;visibility:visible;mso-wrap-style:square" from="5391,10991" to="5746,10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BlsQAAADbAAAADwAAAGRycy9kb3ducmV2LnhtbESPQWvCQBSE74X+h+UJvdWNU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0EGWxAAAANsAAAAPAAAAAAAAAAAA&#10;AAAAAKECAABkcnMvZG93bnJldi54bWxQSwUGAAAAAAQABAD5AAAAkgMAAAAA&#10;" strokeweight="0"/>
                <v:line id="Line 25" o:spid="_x0000_s1042" style="position:absolute;visibility:visible;mso-wrap-style:square" from="5391,9220" to="5746,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kDcQAAADbAAAADwAAAGRycy9kb3ducmV2LnhtbESPQWvCQBSE7wX/w/IEb81GQZumriJS&#10;ib21qUKPj+xrsph9G7JbE/99t1DwOMzMN8x6O9pWXKn3xrGCeZKCIK6cNlwrOH0eHjMQPiBrbB2T&#10;ght52G4mD2vMtRv4g65lqEWEsM9RQRNCl0vpq4Ys+sR1xNH7dr3FEGVfS93jEOG2lYs0XUmLhuNC&#10;gx3tG6ou5Y9VYN5XxfLt6fx8lq9FmH9ll8zYk1Kz6bh7ARFoDPfwf/uoFSy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nOQNxAAAANsAAAAPAAAAAAAAAAAA&#10;AAAAAKECAABkcnMvZG93bnJldi54bWxQSwUGAAAAAAQABAD5AAAAkgMAAAAA&#10;" strokeweight="0"/>
                <v:line id="Line 26" o:spid="_x0000_s1043" style="position:absolute;visibility:visible;mso-wrap-style:square" from="5391,7531" to="5746,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line id="Line 27" o:spid="_x0000_s1044" style="position:absolute;visibility:visible;mso-wrap-style:square" from="5391,5759" to="5746,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Lf4cIAAADbAAAADwAAAGRycy9kb3ducmV2LnhtbESPQYvCMBSE78L+h/AWvGmqsFqrUZbF&#10;Rb25roLHR/Nsg81LaaLWf28EweMwM98ws0VrK3GlxhvHCgb9BARx7rThQsH+/7eXgvABWWPlmBTc&#10;ycNi/tGZYabdjf/ouguFiBD2GSooQ6gzKX1ekkXfdzVx9E6usRiibAqpG7xFuK3kMElG0qLhuFBi&#10;TT8l5efdxSow29HqazM+TA5yuQqDY3pOjd0r1f1sv6cgArXhHX6111rBc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Lf4cIAAADbAAAADwAAAAAAAAAAAAAA&#10;AAChAgAAZHJzL2Rvd25yZXYueG1sUEsFBgAAAAAEAAQA+QAAAJADAAAAAA==&#10;" strokeweight="0"/>
                <v:line id="Line 28" o:spid="_x0000_s1045" style="position:absolute;visibility:visible;mso-wrap-style:square" from="5746,16217" to="27851,1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1Lk78AAADbAAAADwAAAGRycy9kb3ducmV2LnhtbERPy4rCMBTdD/gP4QruxlRBrdUoIg6O&#10;O5/g8tJc22BzU5qMdv7eLASXh/OeL1tbiQc13jhWMOgnIIhzpw0XCs6nn+8UhA/IGivHpOCfPCwX&#10;na85Zto9+UCPYyhEDGGfoYIyhDqT0uclWfR9VxNH7uYaiyHCppC6wWcMt5UcJslYWjQcG0qsaV1S&#10;fj/+WQVmP96OdpPL9CI32zC4pvfU2LNSvW67moEI1IaP+O3+1QqGcWz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51Lk78AAADbAAAADwAAAAAAAAAAAAAAAACh&#10;AgAAZHJzL2Rvd25yZXYueG1sUEsFBgAAAAAEAAQA+QAAAI0DAAAAAA==&#10;" strokeweight="0"/>
                <v:line id="Line 29" o:spid="_x0000_s1046" style="position:absolute;flip:y;visibility:visible;mso-wrap-style:square" from="5746,16217" to="5753,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xgcUAAADbAAAADwAAAGRycy9kb3ducmV2LnhtbESPQWsCMRSE74L/ITyhN83WQ6tbo0hL&#10;iwhWtPXQ23Pzuru4eVmS6Kb/3hQEj8PMfMPMFtE04kLO15YVPI4yEMSF1TWXCr6/3ocTED4ga2ws&#10;k4I/8rCY93szzLXteEeXfShFgrDPUUEVQptL6YuKDPqRbYmT92udwZCkK6V22CW4aeQ4y56kwZrT&#10;QoUtvVZUnPZno2D3+cxH93GOp3jsNtufQ7k+vC2VehjE5QuIQDHcw7f2SisYT+H/S/oB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ExgcUAAADbAAAADwAAAAAAAAAA&#10;AAAAAAChAgAAZHJzL2Rvd25yZXYueG1sUEsFBgAAAAAEAAQA+QAAAJMDAAAAAA==&#10;" strokeweight="0"/>
                <v:line id="Line 30" o:spid="_x0000_s1047" style="position:absolute;flip:y;visibility:visible;mso-wrap-style:square" from="13087,16217" to="13093,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OwcIAAADbAAAADwAAAGRycy9kb3ducmV2LnhtbERPy2oCMRTdF/yHcAV3NWOFVkajiEUp&#10;hVZ8LdxdJ9eZwcnNkEQn/ftmUejycN6zRTSNeJDztWUFo2EGgriwuuZSwfGwfp6A8AFZY2OZFPyQ&#10;h8W89zTDXNuOd/TYh1KkEPY5KqhCaHMpfVGRQT+0LXHirtYZDAm6UmqHXQo3jXzJsldpsObUUGFL&#10;q4qK2/5uFOy+3/jiNvd4i5fua3s+lZ+n96VSg35cTkEEiuFf/Of+0ArGaX3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IOwcIAAADbAAAADwAAAAAAAAAAAAAA&#10;AAChAgAAZHJzL2Rvd25yZXYueG1sUEsFBgAAAAAEAAQA+QAAAJADAAAAAA==&#10;" strokeweight="0"/>
                <v:line id="Line 31" o:spid="_x0000_s1048" style="position:absolute;flip:y;visibility:visible;mso-wrap-style:square" from="20510,16217" to="20516,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rWsUAAADbAAAADwAAAGRycy9kb3ducmV2LnhtbESPQWsCMRSE70L/Q3iF3jSrhS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6rWsUAAADbAAAADwAAAAAAAAAA&#10;AAAAAAChAgAAZHJzL2Rvd25yZXYueG1sUEsFBgAAAAAEAAQA+QAAAJMDAAAAAA==&#10;" strokeweight="0"/>
                <v:line id="Line 32" o:spid="_x0000_s1049" style="position:absolute;flip:y;visibility:visible;mso-wrap-style:square" from="27851,16217" to="27857,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1LcUAAADbAAAADwAAAGRycy9kb3ducmV2LnhtbESPQWsCMRSE74L/ITyhN83WQp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1LcUAAADbAAAADwAAAAAAAAAA&#10;AAAAAAChAgAAZHJzL2Rvd25yZXYueG1sUEsFBgAAAAAEAAQA+QAAAJMDAAAAAA==&#10;" strokeweight="0"/>
                <v:rect id="Rectangle 33" o:spid="_x0000_s1050" style="position:absolute;left:9461;top:13296;width:527;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rect id="Rectangle 34" o:spid="_x0000_s1051" style="position:absolute;left:11055;top:13208;width:52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rect id="Rectangle 35" o:spid="_x0000_s1052" style="position:absolute;left:12642;top:13119;width:53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rect id="Rectangle 36" o:spid="_x0000_s1053" style="position:absolute;left:14236;top:13030;width:52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shape id="Freeform 37" o:spid="_x0000_s1054" style="position:absolute;left:15824;top:12941;width:533;height:355;visibility:visible;mso-wrap-style:square;v-text-anchor:top" coordsize="8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BLMYA&#10;AADbAAAADwAAAGRycy9kb3ducmV2LnhtbESPT2vCQBTE7wW/w/IKvYhutOCf6Cq2oOhF1Hjw+Mg+&#10;k9Ts2zS7Nem37wpCj8PM/IaZL1tTijvVrrCsYNCPQBCnVhecKTgn694EhPPIGkvLpOCXHCwXnZc5&#10;xto2fKT7yWciQNjFqCD3voqldGlOBl3fVsTBu9raoA+yzqSusQlwU8phFI2kwYLDQo4VfeaU3k4/&#10;RsHX9mOzm661T3bJ8XIZNvvvzaGr1Ntru5qB8NT6//CzvdUK3sfw+B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ABLMYAAADbAAAADwAAAAAAAAAAAAAAAACYAgAAZHJz&#10;L2Rvd25yZXYueG1sUEsFBgAAAAAEAAQA9QAAAIsDAAAAAA==&#10;" path="m,14l84,r,42l,56,,14xe" fillcolor="black" stroked="f">
                  <v:path arrowok="t" o:connecttype="custom" o:connectlocs="0,8890;53340,0;53340,26670;0,35560;0,8890" o:connectangles="0,0,0,0,0"/>
                </v:shape>
                <v:shape id="Freeform 38" o:spid="_x0000_s1055" style="position:absolute;left:17240;top:12319;width:533;height:533;visibility:visible;mso-wrap-style:square;v-text-anchor:top" coordsize="8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7hb8QA&#10;AADbAAAADwAAAGRycy9kb3ducmV2LnhtbESPwWoCQQyG70LfYUjBm8622iKro7SC0FNtbQW9hZ10&#10;d+1OZpkZdX17cxA8hj//l3yzRecadaIQa88GnoYZKOLC25pLA78/q8EEVEzIFhvPZOBCERbzh94M&#10;c+vP/E2nTSqVQDjmaKBKqc21jkVFDuPQt8SS/fngMMkYSm0DngXuGv2cZa/aYc1yocKWlhUV/5uj&#10;E0p4WafgDvvtdlTsvt7HgT4PwZj+Y/c2BZWoS/flW/vDGhjJs+IiHq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u4W/EAAAA2wAAAA8AAAAAAAAAAAAAAAAAmAIAAGRycy9k&#10;b3ducmV2LnhtbFBLBQYAAAAABAAEAPUAAACJAwAAAAA=&#10;" path="m,56l56,,84,28,28,84,,56xe" fillcolor="black" stroked="f">
                  <v:path arrowok="t" o:connecttype="custom" o:connectlocs="0,35560;35560,0;53340,17780;17780,53340;0,35560" o:connectangles="0,0,0,0,0"/>
                </v:shape>
                <v:shape id="Freeform 39" o:spid="_x0000_s1056" style="position:absolute;left:18478;top:11347;width:622;height:527;visibility:visible;mso-wrap-style:square;v-text-anchor:top" coordsize="9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gVsMA&#10;AADbAAAADwAAAGRycy9kb3ducmV2LnhtbESPQWsCMRSE70L/Q3gFL1KzVpR2a5S2IOhJupWeXzev&#10;u1uTlyWJ7vrvjSB4HGbmG2ax6q0RJ/KhcaxgMs5AEJdON1wp2H+vn15AhIis0TgmBWcKsFo+DBaY&#10;a9fxF52KWIkE4ZCjgjrGNpcylDVZDGPXEifvz3mLMUlfSe2xS3Br5HOWzaXFhtNCjS191lQeiqNV&#10;0Mjd/2z+YbofrvYTNIfRr9+SUsPH/v0NRKQ+3sO39kYrmL7C9Uv6A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igVsMAAADbAAAADwAAAAAAAAAAAAAAAACYAgAAZHJzL2Rv&#10;d25yZXYueG1sUEsFBgAAAAAEAAQA9QAAAIgDAAAAAA==&#10;" path="m,56l70,,98,28,28,83,,56xe" fillcolor="black" stroked="f">
                  <v:path arrowok="t" o:connecttype="custom" o:connectlocs="0,35560;44450,0;62230,17780;17780,52705;0,35560" o:connectangles="0,0,0,0,0"/>
                </v:shape>
                <v:shape id="Freeform 40" o:spid="_x0000_s1057" style="position:absolute;left:19716;top:10369;width:623;height:533;visibility:visible;mso-wrap-style:square;v-text-anchor:top" coordsize="9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BIsAA&#10;AADbAAAADwAAAGRycy9kb3ducmV2LnhtbERPTWsCMRC9F/ofwhR6q1kXKWU1iggVwR5abe/jZtws&#10;biZrkrrbf985FHp8vO/FavSdulFMbWAD00kBirgOtuXGwOfx9ekFVMrIFrvAZOCHEqyW93cLrGwY&#10;+INuh9woCeFUoQGXc19pnWpHHtMk9MTCnUP0mAXGRtuIg4T7TpdF8aw9tiwNDnvaOKovh28vJUNj&#10;t+U+bUsX32zYfV3fT+urMY8P43oOKtOY/8V/7p01MJP18kV+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0BIsAAAADbAAAADwAAAAAAAAAAAAAAAACYAgAAZHJzL2Rvd25y&#10;ZXYueG1sUEsFBgAAAAAEAAQA9QAAAIUDAAAAAA==&#10;" path="m,56l70,,98,28,28,84,,56xe" fillcolor="black" stroked="f">
                  <v:path arrowok="t" o:connecttype="custom" o:connectlocs="0,35560;44450,0;62230,17780;17780,53340;0,35560" o:connectangles="0,0,0,0,0"/>
                </v:shape>
                <v:shape id="Freeform 41" o:spid="_x0000_s1058" style="position:absolute;left:21043;top:9398;width:534;height:527;visibility:visible;mso-wrap-style:square;v-text-anchor:top" coordsize="8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6KvMEA&#10;AADbAAAADwAAAGRycy9kb3ducmV2LnhtbESPQYvCMBSE74L/IbyFvWmiLCLVtCyC4NVW3OujebbF&#10;5qVtolZ//WZB2OMwM98w22y0rbjT4BvHGhZzBYK4dKbhSsOp2M/WIHxANtg6Jg1P8pCl08kWE+Me&#10;fKR7HioRIewT1FCH0CVS+rImi37uOuLoXdxgMUQ5VNIM+Ihw28qlUitpseG4UGNHu5rKa36zGnq8&#10;7NRL9dewzLE8n3+K/mYKrT8/xu8NiEBj+A+/2wej4WsBf1/iD5D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uirzBAAAA2wAAAA8AAAAAAAAAAAAAAAAAmAIAAGRycy9kb3du&#10;cmV2LnhtbFBLBQYAAAAABAAEAPUAAACGAwAAAAA=&#10;" path="m,55l56,,84,28,28,83,,55xe" fillcolor="black" stroked="f">
                  <v:path arrowok="t" o:connecttype="custom" o:connectlocs="0,34925;35560,0;53340,17780;17780,52705;0,34925" o:connectangles="0,0,0,0,0"/>
                </v:shape>
                <v:shape id="Freeform 42" o:spid="_x0000_s1059" style="position:absolute;left:22282;top:8420;width:616;height:533;visibility:visible;mso-wrap-style:square;v-text-anchor:top" coordsize="9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lm8QA&#10;AADbAAAADwAAAGRycy9kb3ducmV2LnhtbESPX2vCQBDE3wW/w7EF3+rFPxSJnlIFQaVQtUXwbcmt&#10;uWBuL+QuMf32vULBx2F2frOzWHW2FC3VvnCsYDRMQBBnThecK/j+2r7OQPiArLF0TAp+yMNq2e8t&#10;MNXuwSdqzyEXEcI+RQUmhCqV0meGLPqhq4ijd3O1xRBlnUtd4yPCbSnHSfImLRYcGwxWtDGU3c+N&#10;jW980vEw4e6aJU07qvbN+nL7MEoNXrr3OYhAXXge/6d3WsF0DH9bIg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4ZZvEAAAA2wAAAA8AAAAAAAAAAAAAAAAAmAIAAGRycy9k&#10;b3ducmV2LnhtbFBLBQYAAAAABAAEAPUAAACJAwAAAAA=&#10;" path="m,42l70,,97,42,28,84,,42xe" fillcolor="black" stroked="f">
                  <v:path arrowok="t" o:connecttype="custom" o:connectlocs="0,26670;44450,0;61595,26670;17780,53340;0,26670" o:connectangles="0,0,0,0,0"/>
                </v:shape>
                <v:shape id="Freeform 43" o:spid="_x0000_s1060" style="position:absolute;left:23520;top:7448;width:616;height:527;visibility:visible;mso-wrap-style:square;v-text-anchor:top" coordsize="9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XKsUA&#10;AADbAAAADwAAAGRycy9kb3ducmV2LnhtbESPQWsCMRSE7wX/Q3iCl1KzrVrK1igiiCJ40LaH3l6T&#10;193FzcuSRN3990YQPA4z8w0znbe2FmfyoXKs4HWYgSDWzlRcKPj+Wr18gAgR2WDtmBR0FGA+6z1N&#10;MTfuwns6H2IhEoRDjgrKGJtcyqBLshiGriFO3r/zFmOSvpDG4yXBbS3fsuxdWqw4LZTY0LIkfTyc&#10;rAI/6apdrX/Wqz+73j7/dnudLVulBv128QkiUhsf4Xt7YxSMR3D7kn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FcqxQAAANsAAAAPAAAAAAAAAAAAAAAAAJgCAABkcnMv&#10;ZG93bnJldi54bWxQSwUGAAAAAAQABAD1AAAAigMAAAAA&#10;" path="m,41l70,,97,41,28,83,,41xe" fillcolor="black" stroked="f">
                  <v:path arrowok="t" o:connecttype="custom" o:connectlocs="0,26035;44450,0;61595,26035;17780,52705;0,26035" o:connectangles="0,0,0,0,0"/>
                </v:shape>
                <v:shape id="Freeform 44" o:spid="_x0000_s1061" style="position:absolute;left:9461;top:15157;width:1854;height:444;visibility:visible;mso-wrap-style:square;v-text-anchor:top" coordsize="2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dY78A&#10;AADbAAAADwAAAGRycy9kb3ducmV2LnhtbESP3YrCMBCF7xd8hzDC3q2prqjURhFlwb1U+wBDM/3R&#10;ZFKbqN23NwuCl4fz83GydW+NuFPnG8cKxqMEBHHhdMOVgvz087UA4QOyRuOYFPyRh/Vq8JFhqt2D&#10;D3Q/hkrEEfYpKqhDaFMpfVGTRT9yLXH0StdZDFF2ldQdPuK4NXKSJDNpseFIqLGlbU3F5XizCsLZ&#10;GJ6Pf/PClNddpHN+qr6V+hz2myWIQH14h1/tvVYwncL/l/g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9d1jvwAAANsAAAAPAAAAAAAAAAAAAAAAAJgCAABkcnMvZG93bnJl&#10;di54bWxQSwUGAAAAAAQABAD1AAAAhAMAAAAA&#10;" path="m,28l292,r,42l,70,,28xe" fillcolor="black" stroked="f">
                  <v:path arrowok="t" o:connecttype="custom" o:connectlocs="0,17780;185420,0;185420,26670;0,44450;0,17780" o:connectangles="0,0,0,0,0"/>
                </v:shape>
                <v:shape id="Freeform 45" o:spid="_x0000_s1062" style="position:absolute;left:12376;top:14979;width:533;height:356;visibility:visible;mso-wrap-style:square;v-text-anchor:top" coordsize="8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JvcYA&#10;AADbAAAADwAAAGRycy9kb3ducmV2LnhtbESPQWvCQBSE7wX/w/IKvYhulCoaXcUWFL2IGg8eH9ln&#10;kpp9m2a3Jv33XUHocZiZb5j5sjWluFPtCssKBv0IBHFqdcGZgnOy7k1AOI+ssbRMCn7JwXLReZlj&#10;rG3DR7qffCYChF2MCnLvq1hKl+Zk0PVtRRy8q60N+iDrTOoamwA3pRxG0VgaLDgs5FjRZ07p7fRj&#10;FHxtPza76Vr7ZJccL5dhs//eHLpKvb22qxkIT63/Dz/bW63gfQSPL+E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hJvcYAAADbAAAADwAAAAAAAAAAAAAAAACYAgAAZHJz&#10;L2Rvd25yZXYueG1sUEsFBgAAAAAEAAQA9QAAAIsDAAAAAA==&#10;" path="m,14l84,r,42l,56,,14xe" fillcolor="black" stroked="f">
                  <v:path arrowok="t" o:connecttype="custom" o:connectlocs="0,8890;53340,0;53340,26670;0,35560;0,8890" o:connectangles="0,0,0,0,0"/>
                </v:shape>
                <v:rect id="Rectangle 46" o:spid="_x0000_s1063" style="position:absolute;left:13970;top:14890;width:533;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7" o:spid="_x0000_s1064" style="position:absolute;left:15563;top:14624;width:1239;height:355;visibility:visible;mso-wrap-style:square;v-text-anchor:top" coordsize="1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zLpMQA&#10;AADbAAAADwAAAGRycy9kb3ducmV2LnhtbESPQWvCQBSE7wX/w/KE3uqmVaqmriEUSr0UNNGDt9fs&#10;cxOafRuyW43/visUPA4z8w2zygbbijP1vnGs4HmSgCCunG7YKNiXH08LED4ga2wdk4IrecjWo4cV&#10;ptpdeEfnIhgRIexTVFCH0KVS+qomi37iOuLonVxvMUTZG6l7vES4beVLkrxKiw3HhRo7eq+p+il+&#10;rYLyanA63ebH3VeFn2gOy+/TEJR6HA/5G4hAQ7iH/9sbrWA2h9u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sy6TEAAAA2wAAAA8AAAAAAAAAAAAAAAAAmAIAAGRycy9k&#10;b3ducmV2LnhtbFBLBQYAAAAABAAEAPUAAACJAwAAAAA=&#10;" path="m,14l195,r,42l,56,,14xe" fillcolor="black" stroked="f">
                  <v:path arrowok="t" o:connecttype="custom" o:connectlocs="0,8890;123825,0;123825,26670;0,35560;0,8890" o:connectangles="0,0,0,0,0"/>
                </v:shape>
                <v:shape id="Freeform 48" o:spid="_x0000_s1065" style="position:absolute;left:16713;top:14446;width:705;height:444;visibility:visible;mso-wrap-style:square;v-text-anchor:top" coordsize="1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seSMAA&#10;AADbAAAADwAAAGRycy9kb3ducmV2LnhtbERPTWvCQBC9F/wPywi91Y1SS4muUhSL4qXV9j5mx01o&#10;djZktyb6651DocfH+54ve1+rC7WxCmxgPMpAERfBVuwMfB03T6+gYkK2WAcmA1eKsFwMHuaY29Dx&#10;J10OySkJ4ZijgTKlJtc6FiV5jKPQEAt3Dq3HJLB12rbYSbiv9STLXrTHiqWhxIZWJRU/h19v4Pmb&#10;drV1LnSn9Wl/DB/T2/tmaszjsH+bgUrUp3/xn3trxSdj5Yv8AL2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seSMAAAADbAAAADwAAAAAAAAAAAAAAAACYAgAAZHJzL2Rvd25y&#10;ZXYueG1sUEsFBgAAAAAEAAQA9QAAAIUDAAAAAA==&#10;" path="m,28l97,r14,42l14,70,,28xe" fillcolor="black" stroked="f">
                  <v:path arrowok="t" o:connecttype="custom" o:connectlocs="0,17780;61595,0;70485,26670;8890,44450;0,17780" o:connectangles="0,0,0,0,0"/>
                </v:shape>
                <v:shape id="Freeform 49" o:spid="_x0000_s1066" style="position:absolute;left:18300;top:13830;width:623;height:438;visibility:visible;mso-wrap-style:square;v-text-anchor:top" coordsize="9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YVcIA&#10;AADbAAAADwAAAGRycy9kb3ducmV2LnhtbESP22rCQBRF3wv+w3AE3+pE0aLRUcQL2Kd6+4Bj5pgJ&#10;Zs6EzBhjv75TKPRxsy+LPV+2thQN1b5wrGDQT0AQZ04XnCu4nHfvExA+IGssHZOCF3lYLjpvc0y1&#10;e/KRmlPIRRxhn6ICE0KVSukzQxZ931XE0bu52mKIss6lrvEZx20ph0nyIS0WHAkGK1obyu6nh42Q&#10;S/O1+74eNrqVn1yOdXI3q61SvW67moEI1Ib/8F97rxWMpvD7Jf4A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hVwgAAANsAAAAPAAAAAAAAAAAAAAAAAJgCAABkcnMvZG93&#10;bnJldi54bWxQSwUGAAAAAAQABAD1AAAAhwMAAAAA&#10;" path="m,27l84,,98,41,14,69,,27xe" fillcolor="black" stroked="f">
                  <v:path arrowok="t" o:connecttype="custom" o:connectlocs="0,17145;53340,0;62230,26035;8890,43815;0,17145" o:connectangles="0,0,0,0,0"/>
                </v:shape>
                <v:shape id="Freeform 50" o:spid="_x0000_s1067" style="position:absolute;left:19805;top:13296;width:622;height:445;visibility:visible;mso-wrap-style:square;v-text-anchor:top" coordsize="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YSr8A&#10;AADbAAAADwAAAGRycy9kb3ducmV2LnhtbERPz2vCMBS+D/wfwhN2m6m2G7MaiwwK3oZusOtb8myK&#10;zUtJMu3+e3MY7Pjx/d42kxvElULsPStYLgoQxNqbnjsFnx/t0yuImJANDp5JwS9FaHazhy3Wxt/4&#10;SNdT6kQO4VijApvSWEsZtSWHceFH4sydfXCYMgydNAFvOdwNclUUL9Jhz7nB4khvlvTl9OMUfFX0&#10;3lZrXy5RV8fSt9p+p6jU43zab0AkmtK/+M99MAqe8/r8Jf8Aub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VhKvwAAANsAAAAPAAAAAAAAAAAAAAAAAJgCAABkcnMvZG93bnJl&#10;di54bWxQSwUGAAAAAAQABAD1AAAAhAMAAAAA&#10;" path="m,28l84,,98,42,14,70,,28xe" fillcolor="black" stroked="f">
                  <v:path arrowok="t" o:connecttype="custom" o:connectlocs="0,17780;53340,0;62230,26670;8890,44450;0,17780" o:connectangles="0,0,0,0,0"/>
                </v:shape>
                <v:shape id="Freeform 51" o:spid="_x0000_s1068" style="position:absolute;left:21310;top:12230;width:1854;height:978;visibility:visible;mso-wrap-style:square;v-text-anchor:top" coordsize="292,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208QA&#10;AADbAAAADwAAAGRycy9kb3ducmV2LnhtbESPS2sCMRSF94L/IVzBnWamoNSpUdRS6crio4XurpNr&#10;ZnByM52kOv57Uyi4PHznwZnOW1uJCzW+dKwgHSYgiHOnSzYKDvu3wTMIH5A1Vo5JwY08zGfdzhQz&#10;7a68pcsuGBFL2GeooAihzqT0eUEW/dDVxJGdXGMxRNkYqRu8xnJbyackGUuLJceFAmtaFZSfd79W&#10;wc8mckOTr2+z//g8p+vj+nV5VKrfaxcvIAK14WH+T79rBaMU/r7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b9tPEAAAA2wAAAA8AAAAAAAAAAAAAAAAAmAIAAGRycy9k&#10;b3ducmV2LnhtbFBLBQYAAAAABAAEAPUAAACJAwAAAAA=&#10;" path="m,112l278,r14,42l14,154,,112xe" fillcolor="black" stroked="f">
                  <v:path arrowok="t" o:connecttype="custom" o:connectlocs="0,71120;176530,0;185420,26670;8890,97790;0,71120" o:connectangles="0,0,0,0,0"/>
                </v:shape>
                <v:shape id="Freeform 52" o:spid="_x0000_s1069" style="position:absolute;left:9461;top:14801;width:14675;height:1416;visibility:visible;mso-wrap-style:square;v-text-anchor:top" coordsize="16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OHsQA&#10;AADbAAAADwAAAGRycy9kb3ducmV2LnhtbESPS2vDMBCE74X8B7GBXkoi15AHbuQQUgq9lJIHgd4W&#10;ayu7tlZGUhP330eFQI7DzHzDrNaD7cSZfGgcK3ieZiCIK6cbNgqOh7fJEkSIyBo7x6TgjwKsy9HD&#10;CgvtLryj8z4akSAcClRQx9gXUoaqJoth6nri5H07bzEm6Y3UHi8JbjuZZ9lcWmw4LdTY07amqt3/&#10;WgXydfHzxeh6//GUGTv/PFWmzZV6HA+bFxCRhngP39rvWsEsh/8v6QfI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h7EAAAA2wAAAA8AAAAAAAAAAAAAAAAAmAIAAGRycy9k&#10;b3ducmV2LnhtbFBLBQYAAAAABAAEAPUAAACJAwAAAAA=&#10;" path="m,16l83,r83,4e" filled="f" strokeweight="78e-5mm">
                  <v:path arrowok="t" o:connecttype="custom" o:connectlocs="0,141605;733743,0;1467485,35401" o:connectangles="0,0,0"/>
                </v:shape>
                <v:rect id="Rectangle 53" o:spid="_x0000_s1070" style="position:absolute;left:1000;top:1327;width:74650;height:4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335ED9" w:rsidRDefault="00335ED9" w:rsidP="00335ED9">
                        <w:pPr>
                          <w:spacing w:line="240" w:lineRule="auto"/>
                          <w:rPr>
                            <w:b/>
                            <w:bCs/>
                            <w:color w:val="000000"/>
                            <w:sz w:val="18"/>
                            <w:szCs w:val="18"/>
                            <w:lang w:val="en-US"/>
                          </w:rPr>
                        </w:pPr>
                        <w:r w:rsidRPr="00335ED9">
                          <w:rPr>
                            <w:b/>
                            <w:bCs/>
                            <w:color w:val="000000"/>
                            <w:sz w:val="18"/>
                            <w:szCs w:val="18"/>
                            <w:lang w:val="en-US"/>
                          </w:rPr>
                          <w:t>Figure 5: Gazettal date of scheme by Actual Net Residential Density category Station precincts:</w:t>
                        </w:r>
                      </w:p>
                      <w:p w:rsidR="00335ED9" w:rsidRPr="00335ED9" w:rsidRDefault="00335ED9" w:rsidP="00335ED9">
                        <w:pPr>
                          <w:spacing w:line="240" w:lineRule="auto"/>
                          <w:rPr>
                            <w:sz w:val="18"/>
                            <w:szCs w:val="18"/>
                          </w:rPr>
                        </w:pPr>
                        <w:r w:rsidRPr="00335ED9">
                          <w:rPr>
                            <w:b/>
                            <w:bCs/>
                            <w:color w:val="000000"/>
                            <w:sz w:val="18"/>
                            <w:szCs w:val="18"/>
                            <w:lang w:val="en-US"/>
                          </w:rPr>
                          <w:t>Residential development at 2007</w:t>
                        </w:r>
                      </w:p>
                    </w:txbxContent>
                  </v:textbox>
                </v:rect>
                <v:rect id="Rectangle 54" o:spid="_x0000_s1071" style="position:absolute;left:4241;top:15513;width:64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0</w:t>
                        </w:r>
                      </w:p>
                    </w:txbxContent>
                  </v:textbox>
                </v:rect>
                <v:rect id="Rectangle 55" o:spid="_x0000_s1072" style="position:absolute;left:4241;top:13741;width:64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5</w:t>
                        </w:r>
                      </w:p>
                    </w:txbxContent>
                  </v:textbox>
                </v:rect>
                <v:rect id="Rectangle 56" o:spid="_x0000_s1073" style="position:absolute;left:3625;top:12052;width:12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10</w:t>
                        </w:r>
                      </w:p>
                    </w:txbxContent>
                  </v:textbox>
                </v:rect>
                <v:rect id="Rectangle 57" o:spid="_x0000_s1074" style="position:absolute;left:3625;top:10280;width:12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15</w:t>
                        </w:r>
                      </w:p>
                    </w:txbxContent>
                  </v:textbox>
                </v:rect>
                <v:rect id="Rectangle 58" o:spid="_x0000_s1075" style="position:absolute;left:3625;top:8509;width:12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335ED9" w:rsidRDefault="00335ED9" w:rsidP="00335ED9">
                        <w:r>
                          <w:rPr>
                            <w:color w:val="000000"/>
                            <w:sz w:val="18"/>
                            <w:szCs w:val="18"/>
                            <w:lang w:val="en-US"/>
                          </w:rPr>
                          <w:t>20</w:t>
                        </w:r>
                      </w:p>
                    </w:txbxContent>
                  </v:textbox>
                </v:rect>
                <v:rect id="Rectangle 59" o:spid="_x0000_s1076" style="position:absolute;left:3625;top:6826;width:12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25</w:t>
                        </w:r>
                      </w:p>
                    </w:txbxContent>
                  </v:textbox>
                </v:rect>
                <v:rect id="Rectangle 60" o:spid="_x0000_s1077" style="position:absolute;left:3625;top:5054;width:12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335ED9" w:rsidRDefault="00335ED9" w:rsidP="00335ED9">
                        <w:r>
                          <w:rPr>
                            <w:color w:val="000000"/>
                            <w:sz w:val="18"/>
                            <w:szCs w:val="18"/>
                            <w:lang w:val="en-US"/>
                          </w:rPr>
                          <w:t>30</w:t>
                        </w:r>
                      </w:p>
                    </w:txbxContent>
                  </v:textbox>
                </v:rect>
                <v:rect id="Rectangle 61" o:spid="_x0000_s1078" style="position:absolute;left:6985;top:17195;width:4641;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 xml:space="preserve">Pre 1988 </w:t>
                        </w:r>
                      </w:p>
                    </w:txbxContent>
                  </v:textbox>
                </v:rect>
                <v:rect id="Rectangle 62" o:spid="_x0000_s1079" style="position:absolute;left:13703;top:17195;width:6356;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1988 – 1998</w:t>
                        </w:r>
                      </w:p>
                    </w:txbxContent>
                  </v:textbox>
                </v:rect>
                <v:rect id="Rectangle 63" o:spid="_x0000_s1080" style="position:absolute;left:21043;top:17195;width:6357;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1999 – 2005</w:t>
                        </w:r>
                      </w:p>
                    </w:txbxContent>
                  </v:textbox>
                </v:rect>
                <v:rect id="Rectangle 64" o:spid="_x0000_s1081" style="position:absolute;left:7689;top:19234;width:17533;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335ED9" w:rsidRDefault="00335ED9" w:rsidP="00335ED9">
                        <w:r>
                          <w:rPr>
                            <w:b/>
                            <w:bCs/>
                            <w:color w:val="000000"/>
                            <w:sz w:val="18"/>
                            <w:szCs w:val="18"/>
                            <w:lang w:val="en-US"/>
                          </w:rPr>
                          <w:t xml:space="preserve">Date scheme adopted relative to </w:t>
                        </w:r>
                      </w:p>
                    </w:txbxContent>
                  </v:textbox>
                </v:rect>
                <v:rect id="Rectangle 65" o:spid="_x0000_s1082" style="position:absolute;left:7518;top:20739;width:1797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335ED9" w:rsidRDefault="00335ED9" w:rsidP="00335ED9">
                        <w:r>
                          <w:rPr>
                            <w:b/>
                            <w:bCs/>
                            <w:color w:val="000000"/>
                            <w:sz w:val="18"/>
                            <w:szCs w:val="18"/>
                            <w:lang w:val="en-US"/>
                          </w:rPr>
                          <w:t>State development control policy</w:t>
                        </w:r>
                      </w:p>
                    </w:txbxContent>
                  </v:textbox>
                </v:rect>
                <v:rect id="Rectangle 66" o:spid="_x0000_s1083" style="position:absolute;left:-2699;top:9962;width:10020;height:16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iTdsQA&#10;AADbAAAADwAAAGRycy9kb3ducmV2LnhtbESPT2vCQBTE74V+h+UJ3upGKyFEVynBFrEgGHvo8ZF9&#10;JqHZt2l2mz/fvlsoeBxm5jfMdj+aRvTUudqyguUiAkFcWF1zqeDj+vqUgHAeWWNjmRRM5GC/e3zY&#10;YqrtwBfqc1+KAGGXooLK+zaV0hUVGXQL2xIH72Y7gz7IrpS6wyHATSNXURRLgzWHhQpbyioqvvIf&#10;o8CZ9Tn5bt4OfNbviONzdvqcJqXms/FlA8LT6O/h//ZRK4hj+PsSf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k3bEAAAA2wAAAA8AAAAAAAAAAAAAAAAAmAIAAGRycy9k&#10;b3ducmV2LnhtbFBLBQYAAAAABAAEAPUAAACJAwAAAAA=&#10;" filled="f" stroked="f">
                  <v:textbox style="layout-flow:vertical;mso-layout-flow-alt:bottom-to-top" inset="0,0,0,0">
                    <w:txbxContent>
                      <w:p w:rsidR="00335ED9" w:rsidRDefault="00335ED9" w:rsidP="00335ED9">
                        <w:r>
                          <w:rPr>
                            <w:b/>
                            <w:bCs/>
                            <w:color w:val="000000"/>
                            <w:sz w:val="18"/>
                            <w:szCs w:val="18"/>
                            <w:lang w:val="en-US"/>
                          </w:rPr>
                          <w:t>No. precincts</w:t>
                        </w:r>
                      </w:p>
                    </w:txbxContent>
                  </v:textbox>
                </v:rect>
                <v:rect id="Rectangle 67" o:spid="_x0000_s1084" style="position:absolute;left:28822;top:6026;width:13710;height:9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BQ98IA&#10;AADbAAAADwAAAGRycy9kb3ducmV2LnhtbESPQYvCMBSE7wv+h/AEb2uqB7dUo6ggevCiLmyPj+bZ&#10;FJuX2kSt/34jCB6HmfmGmS06W4s7tb5yrGA0TEAQF05XXCr4PW2+UxA+IGusHZOCJ3lYzHtfM8y0&#10;e/CB7sdQighhn6ECE0KTSekLQxb90DXE0Tu71mKIsi2lbvER4baW4ySZSIsVxwWDDa0NFZfjzSqg&#10;+rr5S9PlId+uVkXS6Nxs97lSg363nIII1IVP+N3eaQWTH3h9iT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YFD3wgAAANsAAAAPAAAAAAAAAAAAAAAAAJgCAABkcnMvZG93&#10;bnJldi54bWxQSwUGAAAAAAQABAD1AAAAhwMAAAAA&#10;" strokeweight="0"/>
                <v:rect id="Rectangle 68" o:spid="_x0000_s1085" style="position:absolute;left:29267;top:6826;width:533;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69" o:spid="_x0000_s1086" style="position:absolute;left:30861;top:6826;width:52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70" o:spid="_x0000_s1087" style="position:absolute;left:32448;top:6826;width:8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rect id="Rectangle 71" o:spid="_x0000_s1088" style="position:absolute;left:32804;top:6292;width:9213;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Actual Net density</w:t>
                        </w:r>
                      </w:p>
                    </w:txbxContent>
                  </v:textbox>
                </v:rect>
                <v:rect id="Rectangle 72" o:spid="_x0000_s1089" style="position:absolute;left:32804;top:7708;width:5118;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&lt;10 du/ha</w:t>
                        </w:r>
                      </w:p>
                    </w:txbxContent>
                  </v:textbox>
                </v:rect>
                <v:rect id="Rectangle 73" o:spid="_x0000_s1090" style="position:absolute;left:29267;top:10102;width:185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74" o:spid="_x0000_s1091" style="position:absolute;left:32181;top:10102;width:35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75" o:spid="_x0000_s1092" style="position:absolute;left:32804;top:9575;width:9213;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Actual Net density</w:t>
                        </w:r>
                      </w:p>
                    </w:txbxContent>
                  </v:textbox>
                </v:rect>
                <v:rect id="Rectangle 76" o:spid="_x0000_s1093" style="position:absolute;left:32804;top:10991;width:6737;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335ED9" w:rsidRDefault="00335ED9" w:rsidP="00335ED9">
                        <w:r>
                          <w:rPr>
                            <w:color w:val="000000"/>
                            <w:sz w:val="18"/>
                            <w:szCs w:val="18"/>
                            <w:lang w:val="en-US"/>
                          </w:rPr>
                          <w:t>10 - 15 du/ha</w:t>
                        </w:r>
                      </w:p>
                    </w:txbxContent>
                  </v:textbox>
                </v:rect>
                <v:line id="Line 77" o:spid="_x0000_s1094" style="position:absolute;visibility:visible;mso-wrap-style:square" from="29267,13652" to="32537,1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Y5NcQAAADbAAAADwAAAGRycy9kb3ducmV2LnhtbESPwW7CMBBE70j9B2sr9QYOPTQoxSCg&#10;qpScohI+YBtv46jxOo0NSfv1GKkSx9HMvNGst5PtxIUG3zpWsFwkIIhrp1tuFJyq9/kKhA/IGjvH&#10;pOCXPGw3D7M1ZtqN/EGXY2hEhLDPUIEJoc+k9LUhi37heuLofbnBYohyaKQecIxw28nnJHmRFluO&#10;CwZ7Ohiqv49nq4D+uJWfZf5z3qdvh6KsDBdhr9TT47R7BRFoCvfwfzvXCtIUbl/iD5Cb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jk1xAAAANsAAAAPAAAAAAAAAAAA&#10;AAAAAKECAABkcnMvZG93bnJldi54bWxQSwUGAAAAAAQABAD5AAAAkgMAAAAA&#10;" strokeweight="78e-5mm"/>
                <v:rect id="Rectangle 78" o:spid="_x0000_s1095" style="position:absolute;left:32804;top:12852;width:9213;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335ED9" w:rsidRDefault="00335ED9" w:rsidP="00335ED9">
                        <w:r>
                          <w:rPr>
                            <w:color w:val="000000"/>
                            <w:sz w:val="18"/>
                            <w:szCs w:val="18"/>
                            <w:lang w:val="en-US"/>
                          </w:rPr>
                          <w:t>Actual Net density</w:t>
                        </w:r>
                      </w:p>
                    </w:txbxContent>
                  </v:textbox>
                </v:rect>
                <v:rect id="Rectangle 79" o:spid="_x0000_s1096" style="position:absolute;left:32804;top:14268;width:511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335ED9" w:rsidRDefault="00335ED9" w:rsidP="00335ED9">
                        <w:r>
                          <w:rPr>
                            <w:color w:val="000000"/>
                            <w:sz w:val="18"/>
                            <w:szCs w:val="18"/>
                            <w:lang w:val="en-US"/>
                          </w:rPr>
                          <w:t>&gt;15 du/ha</w:t>
                        </w:r>
                      </w:p>
                    </w:txbxContent>
                  </v:textbox>
                </v:rect>
                <v:rect id="Rectangle 80" o:spid="_x0000_s1097" style="position:absolute;left:444;top:444;width:57134;height:23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Cf8IA&#10;AADbAAAADwAAAGRycy9kb3ducmV2LnhtbERPTWuDQBC9F/IflgnkUupaD0Fs1mALBSFISGx6Htyp&#10;StxZ626i/ffdQ6HHx/ve7RcziDtNrres4DmKQRA3VvfcKvio359SEM4jaxwsk4IfcrDPVw87zLSd&#10;+UT3s29FCGGXoYLO+zGT0jUdGXSRHYkD92Ungz7AqZV6wjmEm0EmcbyVBnsODR2O9NZRcz3fjILq&#10;JMvbY5J+H4rKHutXnVwu10+lNuuleAHhafH/4j93qRWkYX34En6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UJ/wgAAANsAAAAPAAAAAAAAAAAAAAAAAJgCAABkcnMvZG93&#10;bnJldi54bWxQSwUGAAAAAAQABAD1AAAAhwMAAAAA&#10;" filled="f" strokeweight="39e-5mm"/>
                <w10:anchorlock/>
              </v:group>
            </w:pict>
          </mc:Fallback>
        </mc:AlternateContent>
      </w:r>
    </w:p>
    <w:p w:rsidR="00335ED9" w:rsidRDefault="00335ED9" w:rsidP="002812F2">
      <w:pPr>
        <w:jc w:val="both"/>
        <w:rPr>
          <w:sz w:val="24"/>
          <w:szCs w:val="24"/>
        </w:rPr>
      </w:pPr>
    </w:p>
    <w:p w:rsidR="002812F2" w:rsidRPr="002812F2" w:rsidRDefault="00335ED9" w:rsidP="002812F2">
      <w:pPr>
        <w:jc w:val="both"/>
        <w:rPr>
          <w:sz w:val="24"/>
          <w:szCs w:val="24"/>
        </w:rPr>
      </w:pPr>
      <w:r>
        <w:rPr>
          <w:sz w:val="24"/>
          <w:szCs w:val="24"/>
        </w:rPr>
        <w:lastRenderedPageBreak/>
        <w:t>T</w:t>
      </w:r>
      <w:r w:rsidRPr="002812F2">
        <w:rPr>
          <w:sz w:val="24"/>
          <w:szCs w:val="24"/>
        </w:rPr>
        <w:t>he state government objective of ‘planning to support public transit use</w:t>
      </w:r>
      <w:r>
        <w:rPr>
          <w:sz w:val="24"/>
          <w:szCs w:val="24"/>
        </w:rPr>
        <w:t xml:space="preserve"> must be considered in an international context.</w:t>
      </w:r>
      <w:r w:rsidR="002812F2" w:rsidRPr="002812F2">
        <w:rPr>
          <w:sz w:val="24"/>
          <w:szCs w:val="24"/>
        </w:rPr>
        <w:t xml:space="preserve"> Calthorpe (see Bressi, 1994) recommends a gross density of 40 du/ha (this figure in addition to commercial uses within the precinct) as necessary to support public transport. Others have used a level of service specification for public transport to determine minimum residential densities required to support a particular service freq</w:t>
      </w:r>
      <w:r w:rsidR="00A82B47">
        <w:rPr>
          <w:sz w:val="24"/>
          <w:szCs w:val="24"/>
        </w:rPr>
        <w:t>uency (Table 3</w:t>
      </w:r>
      <w:r w:rsidR="002812F2" w:rsidRPr="002812F2">
        <w:rPr>
          <w:sz w:val="24"/>
          <w:szCs w:val="24"/>
        </w:rPr>
        <w:t>).  Perth’s station precincts fall considerably short of all of these benchmarks</w:t>
      </w:r>
      <w:r>
        <w:rPr>
          <w:sz w:val="24"/>
          <w:szCs w:val="24"/>
        </w:rPr>
        <w:t xml:space="preserve"> (Figure 6</w:t>
      </w:r>
      <w:r w:rsidR="002812F2">
        <w:rPr>
          <w:sz w:val="24"/>
          <w:szCs w:val="24"/>
        </w:rPr>
        <w:t>).</w:t>
      </w:r>
    </w:p>
    <w:p w:rsidR="002812F2" w:rsidRDefault="00A82B47" w:rsidP="002812F2">
      <w:pPr>
        <w:spacing w:after="0" w:line="240" w:lineRule="auto"/>
        <w:rPr>
          <w:rFonts w:eastAsia="MS Mincho" w:cs="Times New Roman"/>
          <w:b/>
          <w:sz w:val="24"/>
          <w:szCs w:val="24"/>
          <w:lang w:eastAsia="ja-JP"/>
        </w:rPr>
      </w:pPr>
      <w:r>
        <w:rPr>
          <w:rFonts w:eastAsia="MS Mincho" w:cs="Times New Roman"/>
          <w:b/>
          <w:sz w:val="24"/>
          <w:szCs w:val="24"/>
          <w:lang w:eastAsia="ja-JP"/>
        </w:rPr>
        <w:t>Table 3</w:t>
      </w:r>
      <w:r w:rsidR="002812F2" w:rsidRPr="002812F2">
        <w:rPr>
          <w:rFonts w:eastAsia="MS Mincho" w:cs="Times New Roman"/>
          <w:b/>
          <w:sz w:val="24"/>
          <w:szCs w:val="24"/>
          <w:lang w:eastAsia="ja-JP"/>
        </w:rPr>
        <w:t>:  The relationship between density and service frequency</w:t>
      </w:r>
    </w:p>
    <w:p w:rsidR="002812F2" w:rsidRPr="002812F2" w:rsidRDefault="002812F2" w:rsidP="002812F2">
      <w:pPr>
        <w:spacing w:after="0" w:line="240" w:lineRule="auto"/>
        <w:rPr>
          <w:rFonts w:eastAsia="MS Mincho" w:cs="Times New Roman"/>
          <w:b/>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3"/>
        <w:gridCol w:w="2285"/>
        <w:gridCol w:w="2285"/>
        <w:gridCol w:w="2287"/>
      </w:tblGrid>
      <w:tr w:rsidR="002812F2" w:rsidRPr="002812F2" w:rsidTr="00BD6572">
        <w:trPr>
          <w:trHeight w:val="224"/>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b/>
                <w:color w:val="FFFFFF" w:themeColor="background1"/>
                <w:lang w:eastAsia="ja-JP"/>
              </w:rPr>
            </w:pPr>
            <w:r w:rsidRPr="002812F2">
              <w:rPr>
                <w:rFonts w:eastAsia="MS Mincho" w:cs="Times New Roman"/>
                <w:b/>
                <w:color w:val="FFFFFF" w:themeColor="background1"/>
                <w:lang w:eastAsia="ja-JP"/>
              </w:rPr>
              <w:t>Service Frequency</w:t>
            </w:r>
          </w:p>
        </w:tc>
        <w:tc>
          <w:tcPr>
            <w:tcW w:w="6857" w:type="dxa"/>
            <w:gridSpan w:val="3"/>
            <w:shd w:val="clear" w:color="auto" w:fill="7F7F7F" w:themeFill="text1" w:themeFillTint="80"/>
          </w:tcPr>
          <w:p w:rsidR="002812F2" w:rsidRPr="002812F2" w:rsidRDefault="002812F2" w:rsidP="002812F2">
            <w:pPr>
              <w:spacing w:after="0" w:line="240" w:lineRule="auto"/>
              <w:rPr>
                <w:rFonts w:eastAsia="MS Mincho" w:cs="Times New Roman"/>
                <w:b/>
                <w:color w:val="FFFFFF" w:themeColor="background1"/>
                <w:lang w:eastAsia="ja-JP"/>
              </w:rPr>
            </w:pPr>
            <w:r w:rsidRPr="002812F2">
              <w:rPr>
                <w:rFonts w:eastAsia="MS Mincho" w:cs="Times New Roman"/>
                <w:b/>
                <w:color w:val="FFFFFF" w:themeColor="background1"/>
                <w:lang w:eastAsia="ja-JP"/>
              </w:rPr>
              <w:t>Min. Residential Density Required (Units)</w:t>
            </w:r>
          </w:p>
        </w:tc>
      </w:tr>
      <w:tr w:rsidR="002812F2" w:rsidRPr="002812F2" w:rsidTr="00BD6572">
        <w:trPr>
          <w:trHeight w:val="463"/>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color w:val="FFFFFF" w:themeColor="background1"/>
                <w:lang w:eastAsia="ja-JP"/>
              </w:rPr>
            </w:pPr>
          </w:p>
        </w:tc>
        <w:tc>
          <w:tcPr>
            <w:tcW w:w="2285" w:type="dxa"/>
          </w:tcPr>
          <w:p w:rsidR="002812F2" w:rsidRPr="002812F2" w:rsidRDefault="002812F2" w:rsidP="002812F2">
            <w:pPr>
              <w:spacing w:after="0" w:line="240" w:lineRule="auto"/>
              <w:rPr>
                <w:rFonts w:eastAsia="MS Mincho" w:cs="Times New Roman"/>
                <w:vertAlign w:val="superscript"/>
                <w:lang w:eastAsia="ja-JP"/>
              </w:rPr>
            </w:pPr>
            <w:r w:rsidRPr="002812F2">
              <w:rPr>
                <w:rFonts w:eastAsia="MS Mincho" w:cs="Times New Roman"/>
                <w:lang w:eastAsia="ja-JP"/>
              </w:rPr>
              <w:t>Puskarev  &amp; Zupan, 1977</w:t>
            </w:r>
            <w:r w:rsidRPr="002812F2">
              <w:rPr>
                <w:rFonts w:eastAsia="MS Mincho" w:cs="Times New Roman"/>
                <w:vertAlign w:val="superscript"/>
                <w:lang w:eastAsia="ja-JP"/>
              </w:rPr>
              <w:t>1</w:t>
            </w:r>
          </w:p>
        </w:tc>
        <w:tc>
          <w:tcPr>
            <w:tcW w:w="2285" w:type="dxa"/>
          </w:tcPr>
          <w:p w:rsidR="002812F2" w:rsidRPr="002812F2" w:rsidRDefault="002812F2" w:rsidP="002812F2">
            <w:pPr>
              <w:spacing w:after="0" w:line="240" w:lineRule="auto"/>
              <w:rPr>
                <w:rFonts w:eastAsia="MS Mincho" w:cs="Times New Roman"/>
                <w:vertAlign w:val="superscript"/>
                <w:lang w:eastAsia="ja-JP"/>
              </w:rPr>
            </w:pPr>
            <w:r w:rsidRPr="002812F2">
              <w:rPr>
                <w:rFonts w:eastAsia="MS Mincho" w:cs="Times New Roman"/>
                <w:lang w:eastAsia="ja-JP"/>
              </w:rPr>
              <w:t>Messanger &amp; Ewing, 1994</w:t>
            </w:r>
            <w:r w:rsidRPr="002812F2">
              <w:rPr>
                <w:rFonts w:eastAsia="MS Mincho" w:cs="Times New Roman"/>
                <w:vertAlign w:val="superscript"/>
                <w:lang w:eastAsia="ja-JP"/>
              </w:rPr>
              <w:t>2</w:t>
            </w:r>
          </w:p>
        </w:tc>
        <w:tc>
          <w:tcPr>
            <w:tcW w:w="2287" w:type="dxa"/>
          </w:tcPr>
          <w:p w:rsidR="002812F2" w:rsidRPr="002812F2" w:rsidRDefault="002812F2" w:rsidP="002812F2">
            <w:pPr>
              <w:spacing w:after="0" w:line="240" w:lineRule="auto"/>
              <w:rPr>
                <w:rFonts w:eastAsia="MS Mincho" w:cs="Times New Roman"/>
                <w:vertAlign w:val="superscript"/>
                <w:lang w:eastAsia="ja-JP"/>
              </w:rPr>
            </w:pPr>
            <w:r w:rsidRPr="002812F2">
              <w:rPr>
                <w:rFonts w:eastAsia="MS Mincho" w:cs="Times New Roman"/>
                <w:lang w:eastAsia="ja-JP"/>
              </w:rPr>
              <w:t>Dittmar &amp; Ohland, 2004</w:t>
            </w:r>
            <w:r w:rsidRPr="002812F2">
              <w:rPr>
                <w:rFonts w:eastAsia="MS Mincho" w:cs="Times New Roman"/>
                <w:vertAlign w:val="superscript"/>
                <w:lang w:eastAsia="ja-JP"/>
              </w:rPr>
              <w:t>3</w:t>
            </w:r>
          </w:p>
        </w:tc>
      </w:tr>
      <w:tr w:rsidR="002812F2" w:rsidRPr="002812F2" w:rsidTr="00BD6572">
        <w:trPr>
          <w:trHeight w:val="447"/>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color w:val="FFFFFF" w:themeColor="background1"/>
                <w:lang w:eastAsia="ja-JP"/>
              </w:rPr>
            </w:pPr>
            <w:r w:rsidRPr="002812F2">
              <w:rPr>
                <w:rFonts w:eastAsia="MS Mincho" w:cs="Times New Roman"/>
                <w:color w:val="FFFFFF" w:themeColor="background1"/>
                <w:lang w:eastAsia="ja-JP"/>
              </w:rPr>
              <w:t>Bus - 1 hour service</w:t>
            </w:r>
          </w:p>
        </w:tc>
        <w:tc>
          <w:tcPr>
            <w:tcW w:w="2285" w:type="dxa"/>
          </w:tcPr>
          <w:p w:rsidR="002812F2" w:rsidRPr="002812F2" w:rsidRDefault="002812F2" w:rsidP="002812F2">
            <w:pPr>
              <w:spacing w:after="0" w:line="240" w:lineRule="auto"/>
              <w:rPr>
                <w:rFonts w:eastAsia="MS Mincho" w:cs="Times New Roman"/>
                <w:lang w:val="pt-BR" w:eastAsia="ja-JP"/>
              </w:rPr>
            </w:pPr>
            <w:r w:rsidRPr="002812F2">
              <w:rPr>
                <w:rFonts w:eastAsia="MS Mincho" w:cs="Times New Roman"/>
                <w:lang w:val="pt-BR" w:eastAsia="ja-JP"/>
              </w:rPr>
              <w:t>10/ha (4/acre) adjacent to corridor</w:t>
            </w:r>
          </w:p>
        </w:tc>
        <w:tc>
          <w:tcPr>
            <w:tcW w:w="2285" w:type="dxa"/>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N/A</w:t>
            </w:r>
          </w:p>
        </w:tc>
        <w:tc>
          <w:tcPr>
            <w:tcW w:w="2287" w:type="dxa"/>
            <w:shd w:val="clear" w:color="auto" w:fill="auto"/>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N/A</w:t>
            </w:r>
          </w:p>
        </w:tc>
      </w:tr>
      <w:tr w:rsidR="002812F2" w:rsidRPr="002812F2" w:rsidTr="00BD6572">
        <w:trPr>
          <w:trHeight w:val="463"/>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color w:val="FFFFFF" w:themeColor="background1"/>
                <w:lang w:eastAsia="ja-JP"/>
              </w:rPr>
            </w:pPr>
            <w:r w:rsidRPr="002812F2">
              <w:rPr>
                <w:rFonts w:eastAsia="MS Mincho" w:cs="Times New Roman"/>
                <w:color w:val="FFFFFF" w:themeColor="background1"/>
                <w:lang w:eastAsia="ja-JP"/>
              </w:rPr>
              <w:t>Bus - 1/2 hour service</w:t>
            </w:r>
          </w:p>
        </w:tc>
        <w:tc>
          <w:tcPr>
            <w:tcW w:w="2285" w:type="dxa"/>
          </w:tcPr>
          <w:p w:rsidR="002812F2" w:rsidRPr="002812F2" w:rsidRDefault="002812F2" w:rsidP="002812F2">
            <w:pPr>
              <w:spacing w:after="0" w:line="240" w:lineRule="auto"/>
              <w:rPr>
                <w:rFonts w:eastAsia="MS Mincho" w:cs="Times New Roman"/>
                <w:lang w:val="pt-BR" w:eastAsia="ja-JP"/>
              </w:rPr>
            </w:pPr>
            <w:r w:rsidRPr="002812F2">
              <w:rPr>
                <w:rFonts w:eastAsia="MS Mincho" w:cs="Times New Roman"/>
                <w:lang w:val="pt-BR" w:eastAsia="ja-JP"/>
              </w:rPr>
              <w:t>17/ha (7/acre) adjacent to corridor</w:t>
            </w:r>
          </w:p>
        </w:tc>
        <w:tc>
          <w:tcPr>
            <w:tcW w:w="2285" w:type="dxa"/>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 xml:space="preserve">19/ha (8/acre) </w:t>
            </w:r>
          </w:p>
        </w:tc>
        <w:tc>
          <w:tcPr>
            <w:tcW w:w="2287" w:type="dxa"/>
            <w:shd w:val="clear" w:color="auto" w:fill="auto"/>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&gt;12/acre (suburban neighbourhood)</w:t>
            </w:r>
          </w:p>
        </w:tc>
      </w:tr>
      <w:tr w:rsidR="002812F2" w:rsidRPr="002812F2" w:rsidTr="00BD6572">
        <w:trPr>
          <w:trHeight w:val="447"/>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color w:val="FFFFFF" w:themeColor="background1"/>
                <w:lang w:eastAsia="ja-JP"/>
              </w:rPr>
            </w:pPr>
            <w:r w:rsidRPr="002812F2">
              <w:rPr>
                <w:rFonts w:eastAsia="MS Mincho" w:cs="Times New Roman"/>
                <w:color w:val="FFFFFF" w:themeColor="background1"/>
                <w:lang w:eastAsia="ja-JP"/>
              </w:rPr>
              <w:t>Bus - frequent service (&lt;15 mins)</w:t>
            </w:r>
          </w:p>
        </w:tc>
        <w:tc>
          <w:tcPr>
            <w:tcW w:w="2285" w:type="dxa"/>
          </w:tcPr>
          <w:p w:rsidR="002812F2" w:rsidRPr="002812F2" w:rsidRDefault="002812F2" w:rsidP="002812F2">
            <w:pPr>
              <w:spacing w:after="0" w:line="240" w:lineRule="auto"/>
              <w:rPr>
                <w:rFonts w:eastAsia="MS Mincho" w:cs="Times New Roman"/>
                <w:lang w:val="pt-BR" w:eastAsia="ja-JP"/>
              </w:rPr>
            </w:pPr>
            <w:r w:rsidRPr="002812F2">
              <w:rPr>
                <w:rFonts w:eastAsia="MS Mincho" w:cs="Times New Roman"/>
                <w:lang w:val="pt-BR" w:eastAsia="ja-JP"/>
              </w:rPr>
              <w:t>37/ha (15/acre) adjacent to corridor</w:t>
            </w:r>
          </w:p>
        </w:tc>
        <w:tc>
          <w:tcPr>
            <w:tcW w:w="2285" w:type="dxa"/>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 xml:space="preserve">&gt;26/ha (&gt;11/acre) </w:t>
            </w:r>
          </w:p>
        </w:tc>
        <w:tc>
          <w:tcPr>
            <w:tcW w:w="2287" w:type="dxa"/>
            <w:shd w:val="clear" w:color="auto" w:fill="auto"/>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 xml:space="preserve">48/ha (20/acre) </w:t>
            </w:r>
          </w:p>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(urban neighbourhood)</w:t>
            </w:r>
          </w:p>
        </w:tc>
      </w:tr>
      <w:tr w:rsidR="002812F2" w:rsidRPr="002812F2" w:rsidTr="00BD6572">
        <w:trPr>
          <w:trHeight w:val="687"/>
        </w:trPr>
        <w:tc>
          <w:tcPr>
            <w:tcW w:w="1903" w:type="dxa"/>
            <w:shd w:val="clear" w:color="auto" w:fill="7F7F7F" w:themeFill="text1" w:themeFillTint="80"/>
          </w:tcPr>
          <w:p w:rsidR="002812F2" w:rsidRPr="002812F2" w:rsidRDefault="002812F2" w:rsidP="002812F2">
            <w:pPr>
              <w:spacing w:after="0" w:line="240" w:lineRule="auto"/>
              <w:rPr>
                <w:rFonts w:eastAsia="MS Mincho" w:cs="Times New Roman"/>
                <w:color w:val="FFFFFF" w:themeColor="background1"/>
                <w:lang w:eastAsia="ja-JP"/>
              </w:rPr>
            </w:pPr>
            <w:r w:rsidRPr="002812F2">
              <w:rPr>
                <w:rFonts w:eastAsia="MS Mincho" w:cs="Times New Roman"/>
                <w:color w:val="FFFFFF" w:themeColor="background1"/>
                <w:lang w:eastAsia="ja-JP"/>
              </w:rPr>
              <w:t>Rapid Transit  5 minute headway in peak hour</w:t>
            </w:r>
          </w:p>
        </w:tc>
        <w:tc>
          <w:tcPr>
            <w:tcW w:w="2285" w:type="dxa"/>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30/ha (12/acre) over extensive area with high density close to station</w:t>
            </w:r>
          </w:p>
        </w:tc>
        <w:tc>
          <w:tcPr>
            <w:tcW w:w="2285" w:type="dxa"/>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N/A</w:t>
            </w:r>
          </w:p>
        </w:tc>
        <w:tc>
          <w:tcPr>
            <w:tcW w:w="2287" w:type="dxa"/>
            <w:shd w:val="clear" w:color="auto" w:fill="auto"/>
          </w:tcPr>
          <w:p w:rsidR="002812F2" w:rsidRPr="002812F2" w:rsidRDefault="002812F2" w:rsidP="002812F2">
            <w:pPr>
              <w:spacing w:after="0" w:line="240" w:lineRule="auto"/>
              <w:rPr>
                <w:rFonts w:eastAsia="MS Mincho" w:cs="Times New Roman"/>
                <w:lang w:eastAsia="ja-JP"/>
              </w:rPr>
            </w:pPr>
            <w:r w:rsidRPr="002812F2">
              <w:rPr>
                <w:rFonts w:eastAsia="MS Mincho" w:cs="Times New Roman"/>
                <w:lang w:eastAsia="ja-JP"/>
              </w:rPr>
              <w:t>&gt;144/ha (&gt;60/acre) (hub of radial transport system – urban downtown)</w:t>
            </w:r>
          </w:p>
        </w:tc>
      </w:tr>
    </w:tbl>
    <w:p w:rsidR="002812F2" w:rsidRPr="002812F2" w:rsidRDefault="002812F2" w:rsidP="002812F2">
      <w:pPr>
        <w:spacing w:after="0" w:line="240" w:lineRule="auto"/>
        <w:rPr>
          <w:rFonts w:eastAsia="MS Mincho" w:cs="Times New Roman"/>
          <w:i/>
          <w:lang w:eastAsia="ja-JP"/>
        </w:rPr>
      </w:pPr>
      <w:r w:rsidRPr="002812F2">
        <w:rPr>
          <w:rFonts w:eastAsia="MS Mincho" w:cs="Times New Roman"/>
          <w:i/>
          <w:lang w:eastAsia="ja-JP"/>
        </w:rPr>
        <w:t>(Sources:  Ministry of Transportation and Ministry of Municipal Affairs, 1995 citing Pushkarv B S and Zupan JM (1977) Public Transportation and Land Use Policy; Messenger and Ewing, 1994 cited in Dittmar and Ohland, 2004; Dittmar and Ohland, 2004.)</w:t>
      </w:r>
    </w:p>
    <w:p w:rsidR="002812F2" w:rsidRDefault="002812F2">
      <w:pPr>
        <w:rPr>
          <w:sz w:val="24"/>
          <w:szCs w:val="24"/>
        </w:rPr>
      </w:pPr>
    </w:p>
    <w:p w:rsidR="002812F2" w:rsidRPr="002812F2" w:rsidRDefault="00335ED9">
      <w:pPr>
        <w:rPr>
          <w:b/>
          <w:sz w:val="24"/>
          <w:szCs w:val="24"/>
        </w:rPr>
      </w:pPr>
      <w:r>
        <w:rPr>
          <w:b/>
          <w:sz w:val="24"/>
          <w:szCs w:val="24"/>
        </w:rPr>
        <w:t>Figure 6</w:t>
      </w:r>
      <w:r w:rsidR="002812F2">
        <w:rPr>
          <w:b/>
          <w:sz w:val="24"/>
          <w:szCs w:val="24"/>
        </w:rPr>
        <w:t xml:space="preserve">: </w:t>
      </w:r>
      <w:r w:rsidR="002812F2" w:rsidRPr="002812F2">
        <w:rPr>
          <w:b/>
          <w:sz w:val="24"/>
        </w:rPr>
        <w:t>Gross Residential Density – Perth Railway Stations compared to Calthorpe benchmark</w:t>
      </w:r>
      <w:r w:rsidR="002812F2">
        <w:rPr>
          <w:b/>
          <w:sz w:val="24"/>
        </w:rPr>
        <w:t xml:space="preserve"> (shown as 40 dwellings per hectare)</w:t>
      </w:r>
    </w:p>
    <w:p w:rsidR="009224A8" w:rsidRDefault="002812F2">
      <w:pPr>
        <w:rPr>
          <w:b/>
          <w:sz w:val="24"/>
          <w:szCs w:val="24"/>
        </w:rPr>
      </w:pPr>
      <w:r>
        <w:rPr>
          <w:b/>
          <w:noProof/>
          <w:sz w:val="24"/>
          <w:szCs w:val="24"/>
          <w:lang w:eastAsia="en-AU"/>
        </w:rPr>
        <w:drawing>
          <wp:inline distT="0" distB="0" distL="0" distR="0">
            <wp:extent cx="6461890" cy="3901172"/>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6467619" cy="3904631"/>
                    </a:xfrm>
                    <a:prstGeom prst="rect">
                      <a:avLst/>
                    </a:prstGeom>
                    <a:noFill/>
                  </pic:spPr>
                </pic:pic>
              </a:graphicData>
            </a:graphic>
          </wp:inline>
        </w:drawing>
      </w:r>
    </w:p>
    <w:p w:rsidR="002812F2" w:rsidRPr="002812F2" w:rsidRDefault="002812F2" w:rsidP="002812F2">
      <w:pPr>
        <w:jc w:val="both"/>
        <w:rPr>
          <w:sz w:val="24"/>
          <w:szCs w:val="24"/>
        </w:rPr>
      </w:pPr>
      <w:r w:rsidRPr="002812F2">
        <w:rPr>
          <w:sz w:val="24"/>
          <w:szCs w:val="24"/>
        </w:rPr>
        <w:lastRenderedPageBreak/>
        <w:t xml:space="preserve">Newman </w:t>
      </w:r>
      <w:r w:rsidR="0071011D">
        <w:rPr>
          <w:sz w:val="24"/>
          <w:szCs w:val="24"/>
        </w:rPr>
        <w:t xml:space="preserve">and Kenworthy </w:t>
      </w:r>
      <w:r w:rsidRPr="002812F2">
        <w:rPr>
          <w:sz w:val="24"/>
          <w:szCs w:val="24"/>
        </w:rPr>
        <w:t xml:space="preserve">(2006) </w:t>
      </w:r>
      <w:r w:rsidR="0071011D">
        <w:rPr>
          <w:sz w:val="24"/>
          <w:szCs w:val="24"/>
        </w:rPr>
        <w:t>contend</w:t>
      </w:r>
      <w:r w:rsidRPr="002812F2">
        <w:rPr>
          <w:sz w:val="24"/>
          <w:szCs w:val="24"/>
        </w:rPr>
        <w:t xml:space="preserve"> that for a station precinct to capitalise on its public transport accessibility and also offer the best efficiency for supporting public transport, a threshold of 10,000 employees and/or residents should be based in the station precinct.  None of Perth’s stations reach this figure for residents alone; only 5 stations meet this benchmark on employees alone. The maximum number of dwellings in any one precinct was 3</w:t>
      </w:r>
      <w:r w:rsidR="00671005">
        <w:rPr>
          <w:sz w:val="24"/>
          <w:szCs w:val="24"/>
        </w:rPr>
        <w:t>,</w:t>
      </w:r>
      <w:r w:rsidRPr="002812F2">
        <w:rPr>
          <w:sz w:val="24"/>
          <w:szCs w:val="24"/>
        </w:rPr>
        <w:t>645, the minimum 35 and the mean 1</w:t>
      </w:r>
      <w:r w:rsidR="00671005">
        <w:rPr>
          <w:sz w:val="24"/>
          <w:szCs w:val="24"/>
        </w:rPr>
        <w:t>,</w:t>
      </w:r>
      <w:r w:rsidRPr="002812F2">
        <w:rPr>
          <w:sz w:val="24"/>
          <w:szCs w:val="24"/>
        </w:rPr>
        <w:t xml:space="preserve">237.  </w:t>
      </w:r>
      <w:r w:rsidR="00A82B47">
        <w:rPr>
          <w:sz w:val="24"/>
          <w:szCs w:val="24"/>
        </w:rPr>
        <w:t>The n</w:t>
      </w:r>
      <w:r w:rsidRPr="002812F2">
        <w:rPr>
          <w:sz w:val="24"/>
          <w:szCs w:val="24"/>
        </w:rPr>
        <w:t>umber of residents living in station precincts ranged between 18 and 5</w:t>
      </w:r>
      <w:r w:rsidR="00671005">
        <w:rPr>
          <w:sz w:val="24"/>
          <w:szCs w:val="24"/>
        </w:rPr>
        <w:t>,</w:t>
      </w:r>
      <w:r w:rsidRPr="002812F2">
        <w:rPr>
          <w:sz w:val="24"/>
          <w:szCs w:val="24"/>
        </w:rPr>
        <w:t>995.  The number of employees based within each precinct ranged between 0 and 59,012 with the mean at 4</w:t>
      </w:r>
      <w:r w:rsidR="00671005">
        <w:rPr>
          <w:sz w:val="24"/>
          <w:szCs w:val="24"/>
        </w:rPr>
        <w:t>,</w:t>
      </w:r>
      <w:r w:rsidRPr="002812F2">
        <w:rPr>
          <w:sz w:val="24"/>
          <w:szCs w:val="24"/>
        </w:rPr>
        <w:t>118.  Three quarters of all stations had less than 2</w:t>
      </w:r>
      <w:r w:rsidR="00671005">
        <w:rPr>
          <w:sz w:val="24"/>
          <w:szCs w:val="24"/>
        </w:rPr>
        <w:t>,</w:t>
      </w:r>
      <w:r w:rsidRPr="002812F2">
        <w:rPr>
          <w:sz w:val="24"/>
          <w:szCs w:val="24"/>
        </w:rPr>
        <w:t>335 employees. The combination of residents and</w:t>
      </w:r>
      <w:r w:rsidR="00A82B47">
        <w:rPr>
          <w:sz w:val="24"/>
          <w:szCs w:val="24"/>
        </w:rPr>
        <w:t xml:space="preserve"> employees puts only 8 of the 68</w:t>
      </w:r>
      <w:r w:rsidRPr="002812F2">
        <w:rPr>
          <w:sz w:val="24"/>
          <w:szCs w:val="24"/>
        </w:rPr>
        <w:t xml:space="preserve"> stations within this benchmark; all are based wi</w:t>
      </w:r>
      <w:r w:rsidR="00A82B47">
        <w:rPr>
          <w:sz w:val="24"/>
          <w:szCs w:val="24"/>
        </w:rPr>
        <w:t>thi</w:t>
      </w:r>
      <w:r w:rsidR="00335ED9">
        <w:rPr>
          <w:sz w:val="24"/>
          <w:szCs w:val="24"/>
        </w:rPr>
        <w:t>n the inner suburbs (Figure 7</w:t>
      </w:r>
      <w:r w:rsidRPr="002812F2">
        <w:rPr>
          <w:sz w:val="24"/>
          <w:szCs w:val="24"/>
        </w:rPr>
        <w:t>).</w:t>
      </w:r>
    </w:p>
    <w:p w:rsidR="002812F2" w:rsidRDefault="002812F2" w:rsidP="002812F2">
      <w:pPr>
        <w:rPr>
          <w:sz w:val="24"/>
        </w:rPr>
      </w:pPr>
      <w:r w:rsidRPr="002812F2">
        <w:rPr>
          <w:b/>
          <w:sz w:val="24"/>
        </w:rPr>
        <w:t xml:space="preserve">Figure </w:t>
      </w:r>
      <w:r w:rsidR="00335ED9">
        <w:rPr>
          <w:b/>
          <w:sz w:val="24"/>
        </w:rPr>
        <w:t>7</w:t>
      </w:r>
      <w:r w:rsidRPr="002812F2">
        <w:rPr>
          <w:b/>
          <w:sz w:val="24"/>
        </w:rPr>
        <w:t>:  Numbers of residents and employees in station precincts at 2001 – only 9</w:t>
      </w:r>
      <w:r>
        <w:rPr>
          <w:sz w:val="24"/>
        </w:rPr>
        <w:t xml:space="preserve"> </w:t>
      </w:r>
      <w:r w:rsidRPr="002812F2">
        <w:rPr>
          <w:b/>
          <w:sz w:val="24"/>
        </w:rPr>
        <w:t>station precincts meet or exceed the Newman 10,000 rule</w:t>
      </w:r>
      <w:r>
        <w:rPr>
          <w:b/>
          <w:sz w:val="24"/>
        </w:rPr>
        <w:t xml:space="preserve"> (data is ABS 2001 Census)</w:t>
      </w:r>
      <w:r w:rsidRPr="002812F2">
        <w:rPr>
          <w:b/>
          <w:sz w:val="24"/>
        </w:rPr>
        <w:t>.</w:t>
      </w:r>
    </w:p>
    <w:p w:rsidR="002812F2" w:rsidRPr="002812F2" w:rsidRDefault="002812F2">
      <w:pPr>
        <w:rPr>
          <w:b/>
          <w:sz w:val="24"/>
          <w:szCs w:val="24"/>
        </w:rPr>
      </w:pPr>
      <w:r w:rsidRPr="002812F2">
        <w:rPr>
          <w:b/>
          <w:noProof/>
          <w:sz w:val="24"/>
          <w:szCs w:val="24"/>
          <w:lang w:eastAsia="en-AU"/>
        </w:rPr>
        <w:drawing>
          <wp:inline distT="0" distB="0" distL="0" distR="0">
            <wp:extent cx="5731510" cy="2438091"/>
            <wp:effectExtent l="19050" t="0" r="254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731510" cy="2438091"/>
                    </a:xfrm>
                    <a:prstGeom prst="rect">
                      <a:avLst/>
                    </a:prstGeom>
                    <a:noFill/>
                    <a:ln w="9525">
                      <a:noFill/>
                      <a:miter lim="800000"/>
                      <a:headEnd/>
                      <a:tailEnd/>
                    </a:ln>
                  </pic:spPr>
                </pic:pic>
              </a:graphicData>
            </a:graphic>
          </wp:inline>
        </w:drawing>
      </w:r>
    </w:p>
    <w:p w:rsidR="0071011D" w:rsidRDefault="0071011D" w:rsidP="009224A8">
      <w:pPr>
        <w:rPr>
          <w:b/>
          <w:sz w:val="24"/>
          <w:szCs w:val="24"/>
        </w:rPr>
      </w:pPr>
    </w:p>
    <w:p w:rsidR="009224A8" w:rsidRPr="009224A8" w:rsidRDefault="009224A8" w:rsidP="009224A8">
      <w:pPr>
        <w:rPr>
          <w:b/>
          <w:sz w:val="24"/>
          <w:szCs w:val="24"/>
        </w:rPr>
      </w:pPr>
      <w:r w:rsidRPr="009224A8">
        <w:rPr>
          <w:b/>
          <w:sz w:val="24"/>
          <w:szCs w:val="24"/>
        </w:rPr>
        <w:t>Discussion</w:t>
      </w:r>
    </w:p>
    <w:p w:rsidR="008E545C" w:rsidRDefault="0071011D" w:rsidP="0071011D">
      <w:pPr>
        <w:jc w:val="both"/>
        <w:rPr>
          <w:sz w:val="24"/>
          <w:szCs w:val="24"/>
        </w:rPr>
      </w:pPr>
      <w:r w:rsidRPr="0071011D">
        <w:rPr>
          <w:sz w:val="24"/>
          <w:szCs w:val="24"/>
        </w:rPr>
        <w:t xml:space="preserve">This research is concerned with the question of whether the planning system can implement the </w:t>
      </w:r>
      <w:r w:rsidR="00B84612">
        <w:rPr>
          <w:sz w:val="24"/>
          <w:szCs w:val="24"/>
        </w:rPr>
        <w:t xml:space="preserve">‘D’ in </w:t>
      </w:r>
      <w:r w:rsidR="00523AC6">
        <w:rPr>
          <w:sz w:val="24"/>
          <w:szCs w:val="24"/>
        </w:rPr>
        <w:t xml:space="preserve">TOD </w:t>
      </w:r>
      <w:r w:rsidR="001A22DC">
        <w:rPr>
          <w:sz w:val="24"/>
          <w:szCs w:val="24"/>
        </w:rPr>
        <w:t>- that</w:t>
      </w:r>
      <w:r w:rsidR="00B84612">
        <w:rPr>
          <w:sz w:val="24"/>
          <w:szCs w:val="24"/>
        </w:rPr>
        <w:t xml:space="preserve"> is the development dimension of TOD.</w:t>
      </w:r>
      <w:r w:rsidRPr="0071011D">
        <w:rPr>
          <w:sz w:val="24"/>
          <w:szCs w:val="24"/>
        </w:rPr>
        <w:t xml:space="preserve">  It is </w:t>
      </w:r>
      <w:r w:rsidR="00523AC6">
        <w:rPr>
          <w:sz w:val="24"/>
          <w:szCs w:val="24"/>
        </w:rPr>
        <w:t>shown</w:t>
      </w:r>
      <w:r w:rsidRPr="0071011D">
        <w:rPr>
          <w:sz w:val="24"/>
          <w:szCs w:val="24"/>
        </w:rPr>
        <w:t xml:space="preserve"> that there is clear national</w:t>
      </w:r>
      <w:r w:rsidR="00B84612">
        <w:rPr>
          <w:sz w:val="24"/>
          <w:szCs w:val="24"/>
        </w:rPr>
        <w:t xml:space="preserve"> and</w:t>
      </w:r>
      <w:r w:rsidRPr="0071011D">
        <w:rPr>
          <w:sz w:val="24"/>
          <w:szCs w:val="24"/>
        </w:rPr>
        <w:t xml:space="preserve"> state </w:t>
      </w:r>
      <w:r w:rsidR="00B84612">
        <w:rPr>
          <w:sz w:val="24"/>
          <w:szCs w:val="24"/>
        </w:rPr>
        <w:t>support for th</w:t>
      </w:r>
      <w:r w:rsidRPr="0071011D">
        <w:rPr>
          <w:sz w:val="24"/>
          <w:szCs w:val="24"/>
        </w:rPr>
        <w:t xml:space="preserve">e broad principles of </w:t>
      </w:r>
      <w:r w:rsidR="00B84612">
        <w:rPr>
          <w:sz w:val="24"/>
          <w:szCs w:val="24"/>
        </w:rPr>
        <w:t>TOD</w:t>
      </w:r>
      <w:r w:rsidRPr="0071011D">
        <w:rPr>
          <w:sz w:val="24"/>
          <w:szCs w:val="24"/>
        </w:rPr>
        <w:t>.</w:t>
      </w:r>
      <w:r w:rsidR="00B84612">
        <w:rPr>
          <w:sz w:val="24"/>
          <w:szCs w:val="24"/>
        </w:rPr>
        <w:t xml:space="preserve"> The State government have also embarked on an ambitious railway infrastructure developme</w:t>
      </w:r>
      <w:r w:rsidR="00335ED9">
        <w:rPr>
          <w:sz w:val="24"/>
          <w:szCs w:val="24"/>
        </w:rPr>
        <w:t>nt programme since the early 198</w:t>
      </w:r>
      <w:r w:rsidR="00B84612">
        <w:rPr>
          <w:sz w:val="24"/>
          <w:szCs w:val="24"/>
        </w:rPr>
        <w:t>0’s</w:t>
      </w:r>
      <w:r w:rsidR="00335ED9">
        <w:rPr>
          <w:sz w:val="24"/>
          <w:szCs w:val="24"/>
        </w:rPr>
        <w:t>. T</w:t>
      </w:r>
      <w:r w:rsidRPr="0071011D">
        <w:rPr>
          <w:sz w:val="24"/>
          <w:szCs w:val="24"/>
        </w:rPr>
        <w:t>here</w:t>
      </w:r>
      <w:r w:rsidR="00B84612">
        <w:rPr>
          <w:sz w:val="24"/>
          <w:szCs w:val="24"/>
        </w:rPr>
        <w:t xml:space="preserve"> has been a long standing development control policy for TOD</w:t>
      </w:r>
      <w:r w:rsidR="00335ED9">
        <w:rPr>
          <w:sz w:val="24"/>
          <w:szCs w:val="24"/>
        </w:rPr>
        <w:t xml:space="preserve"> started in 1988</w:t>
      </w:r>
      <w:r w:rsidR="001A22DC">
        <w:rPr>
          <w:sz w:val="24"/>
          <w:szCs w:val="24"/>
        </w:rPr>
        <w:t>. This policy is</w:t>
      </w:r>
      <w:r w:rsidR="00B84612">
        <w:rPr>
          <w:sz w:val="24"/>
          <w:szCs w:val="24"/>
        </w:rPr>
        <w:t xml:space="preserve"> implemented through local </w:t>
      </w:r>
      <w:r w:rsidR="001A22DC">
        <w:rPr>
          <w:sz w:val="24"/>
          <w:szCs w:val="24"/>
        </w:rPr>
        <w:t>TPS. T</w:t>
      </w:r>
      <w:r w:rsidR="00B84612">
        <w:rPr>
          <w:sz w:val="24"/>
          <w:szCs w:val="24"/>
        </w:rPr>
        <w:t xml:space="preserve">hese </w:t>
      </w:r>
      <w:r w:rsidR="001A22DC">
        <w:rPr>
          <w:sz w:val="24"/>
          <w:szCs w:val="24"/>
        </w:rPr>
        <w:t xml:space="preserve">in turn </w:t>
      </w:r>
      <w:r w:rsidR="00335ED9">
        <w:rPr>
          <w:sz w:val="24"/>
          <w:szCs w:val="24"/>
        </w:rPr>
        <w:t xml:space="preserve">are intended to </w:t>
      </w:r>
      <w:r w:rsidR="001A22DC">
        <w:rPr>
          <w:sz w:val="24"/>
          <w:szCs w:val="24"/>
        </w:rPr>
        <w:t>f</w:t>
      </w:r>
      <w:r w:rsidR="00B84612">
        <w:rPr>
          <w:sz w:val="24"/>
          <w:szCs w:val="24"/>
        </w:rPr>
        <w:t xml:space="preserve">acilitate development in station precincts.  The State TOD policy </w:t>
      </w:r>
      <w:r w:rsidR="00523AC6">
        <w:rPr>
          <w:sz w:val="24"/>
          <w:szCs w:val="24"/>
        </w:rPr>
        <w:t>require</w:t>
      </w:r>
      <w:r w:rsidR="001A22DC">
        <w:rPr>
          <w:sz w:val="24"/>
          <w:szCs w:val="24"/>
        </w:rPr>
        <w:t>s</w:t>
      </w:r>
      <w:r w:rsidRPr="0071011D">
        <w:rPr>
          <w:sz w:val="24"/>
          <w:szCs w:val="24"/>
        </w:rPr>
        <w:t xml:space="preserve"> higher residential densities and higher intensity employment uses </w:t>
      </w:r>
      <w:r w:rsidR="001A22DC">
        <w:rPr>
          <w:sz w:val="24"/>
          <w:szCs w:val="24"/>
        </w:rPr>
        <w:t>in</w:t>
      </w:r>
      <w:r w:rsidRPr="0071011D">
        <w:rPr>
          <w:sz w:val="24"/>
          <w:szCs w:val="24"/>
        </w:rPr>
        <w:t xml:space="preserve"> </w:t>
      </w:r>
      <w:r w:rsidR="00335ED9">
        <w:rPr>
          <w:sz w:val="24"/>
          <w:szCs w:val="24"/>
        </w:rPr>
        <w:t xml:space="preserve">all of Perth’s 68 </w:t>
      </w:r>
      <w:r w:rsidRPr="0071011D">
        <w:rPr>
          <w:sz w:val="24"/>
          <w:szCs w:val="24"/>
        </w:rPr>
        <w:t xml:space="preserve">station precincts.  </w:t>
      </w:r>
      <w:r w:rsidR="009224A8">
        <w:rPr>
          <w:sz w:val="24"/>
          <w:szCs w:val="24"/>
        </w:rPr>
        <w:t xml:space="preserve">Planning powers of State government in WA are strong yet there </w:t>
      </w:r>
      <w:r w:rsidR="001A22DC">
        <w:rPr>
          <w:sz w:val="24"/>
          <w:szCs w:val="24"/>
        </w:rPr>
        <w:t>is limited evidence of their application in relation to</w:t>
      </w:r>
      <w:r w:rsidR="009224A8">
        <w:rPr>
          <w:sz w:val="24"/>
          <w:szCs w:val="24"/>
        </w:rPr>
        <w:t xml:space="preserve"> implementation of TOD</w:t>
      </w:r>
      <w:r w:rsidR="001A22DC">
        <w:rPr>
          <w:sz w:val="24"/>
          <w:szCs w:val="24"/>
        </w:rPr>
        <w:t xml:space="preserve"> policy</w:t>
      </w:r>
      <w:r w:rsidR="009224A8">
        <w:rPr>
          <w:sz w:val="24"/>
          <w:szCs w:val="24"/>
        </w:rPr>
        <w:t xml:space="preserve">.  </w:t>
      </w:r>
      <w:r w:rsidR="00B84612">
        <w:rPr>
          <w:sz w:val="24"/>
          <w:szCs w:val="24"/>
        </w:rPr>
        <w:t xml:space="preserve">Despite a </w:t>
      </w:r>
      <w:r w:rsidR="002C40D5">
        <w:rPr>
          <w:sz w:val="24"/>
          <w:szCs w:val="24"/>
        </w:rPr>
        <w:t>20-year</w:t>
      </w:r>
      <w:r w:rsidR="009224A8">
        <w:rPr>
          <w:sz w:val="24"/>
          <w:szCs w:val="24"/>
        </w:rPr>
        <w:t xml:space="preserve"> </w:t>
      </w:r>
      <w:r w:rsidR="00B84612">
        <w:rPr>
          <w:sz w:val="24"/>
          <w:szCs w:val="24"/>
        </w:rPr>
        <w:t>policy</w:t>
      </w:r>
      <w:r w:rsidR="002C40D5">
        <w:rPr>
          <w:sz w:val="24"/>
          <w:szCs w:val="24"/>
        </w:rPr>
        <w:t>,</w:t>
      </w:r>
      <w:r w:rsidR="00B84612">
        <w:rPr>
          <w:sz w:val="24"/>
          <w:szCs w:val="24"/>
        </w:rPr>
        <w:t xml:space="preserve"> </w:t>
      </w:r>
      <w:r w:rsidR="00426D31">
        <w:rPr>
          <w:sz w:val="24"/>
          <w:szCs w:val="24"/>
        </w:rPr>
        <w:t xml:space="preserve">only one third of station precincts are governed by planning schemes that conform to </w:t>
      </w:r>
      <w:r w:rsidR="002C40D5">
        <w:rPr>
          <w:sz w:val="24"/>
          <w:szCs w:val="24"/>
        </w:rPr>
        <w:t>S</w:t>
      </w:r>
      <w:r w:rsidR="00426D31">
        <w:rPr>
          <w:sz w:val="24"/>
          <w:szCs w:val="24"/>
        </w:rPr>
        <w:t>tate density</w:t>
      </w:r>
      <w:r w:rsidR="002C40D5">
        <w:rPr>
          <w:sz w:val="24"/>
          <w:szCs w:val="24"/>
        </w:rPr>
        <w:t xml:space="preserve"> zonings</w:t>
      </w:r>
      <w:r w:rsidR="00426D31">
        <w:rPr>
          <w:sz w:val="24"/>
          <w:szCs w:val="24"/>
        </w:rPr>
        <w:t>.  R</w:t>
      </w:r>
      <w:r w:rsidR="009224A8">
        <w:rPr>
          <w:sz w:val="24"/>
          <w:szCs w:val="24"/>
        </w:rPr>
        <w:t xml:space="preserve">evisions </w:t>
      </w:r>
      <w:r w:rsidR="00426D31">
        <w:rPr>
          <w:sz w:val="24"/>
          <w:szCs w:val="24"/>
        </w:rPr>
        <w:t xml:space="preserve">of State policy </w:t>
      </w:r>
      <w:r w:rsidR="009224A8">
        <w:rPr>
          <w:sz w:val="24"/>
          <w:szCs w:val="24"/>
        </w:rPr>
        <w:t xml:space="preserve">over time have seen a shift from clear </w:t>
      </w:r>
      <w:r w:rsidR="002C40D5">
        <w:rPr>
          <w:sz w:val="24"/>
          <w:szCs w:val="24"/>
        </w:rPr>
        <w:t xml:space="preserve">density </w:t>
      </w:r>
      <w:r w:rsidR="009224A8">
        <w:rPr>
          <w:sz w:val="24"/>
          <w:szCs w:val="24"/>
        </w:rPr>
        <w:t xml:space="preserve">prescription to a period where density </w:t>
      </w:r>
      <w:r w:rsidR="00426D31">
        <w:rPr>
          <w:sz w:val="24"/>
          <w:szCs w:val="24"/>
        </w:rPr>
        <w:t>was ill-defined</w:t>
      </w:r>
      <w:r w:rsidR="002C40D5">
        <w:rPr>
          <w:sz w:val="24"/>
          <w:szCs w:val="24"/>
        </w:rPr>
        <w:t>. Where poorly defined policy is produced it is not easy to measure conformance.</w:t>
      </w:r>
      <w:r w:rsidR="009224A8">
        <w:rPr>
          <w:sz w:val="24"/>
          <w:szCs w:val="24"/>
        </w:rPr>
        <w:t xml:space="preserve">  </w:t>
      </w:r>
      <w:r w:rsidR="0078083B">
        <w:rPr>
          <w:sz w:val="24"/>
          <w:szCs w:val="24"/>
        </w:rPr>
        <w:t xml:space="preserve">Even in </w:t>
      </w:r>
      <w:r w:rsidR="00335ED9">
        <w:rPr>
          <w:sz w:val="24"/>
          <w:szCs w:val="24"/>
        </w:rPr>
        <w:t xml:space="preserve">the </w:t>
      </w:r>
      <w:r w:rsidR="0078083B">
        <w:rPr>
          <w:sz w:val="24"/>
          <w:szCs w:val="24"/>
        </w:rPr>
        <w:t>periods where State TOD policy has been prescriptive there are a number of local planning schemes that have not conformed to State policy. This is a puzzle given that State has the power to assess compliance of each TPS.</w:t>
      </w:r>
      <w:r w:rsidR="0078083B" w:rsidRPr="00440B77">
        <w:rPr>
          <w:sz w:val="24"/>
          <w:szCs w:val="24"/>
        </w:rPr>
        <w:t xml:space="preserve"> </w:t>
      </w:r>
      <w:r w:rsidR="00A02B04">
        <w:rPr>
          <w:sz w:val="24"/>
          <w:szCs w:val="24"/>
        </w:rPr>
        <w:t>O</w:t>
      </w:r>
      <w:r w:rsidR="00426D31">
        <w:rPr>
          <w:sz w:val="24"/>
          <w:szCs w:val="24"/>
        </w:rPr>
        <w:t xml:space="preserve">nly in the last five years </w:t>
      </w:r>
      <w:r w:rsidR="002C40D5">
        <w:rPr>
          <w:sz w:val="24"/>
          <w:szCs w:val="24"/>
        </w:rPr>
        <w:t>has the State TOD</w:t>
      </w:r>
      <w:r w:rsidR="00426D31">
        <w:rPr>
          <w:sz w:val="24"/>
          <w:szCs w:val="24"/>
        </w:rPr>
        <w:t xml:space="preserve"> policy become </w:t>
      </w:r>
      <w:r w:rsidR="002C40D5">
        <w:rPr>
          <w:sz w:val="24"/>
          <w:szCs w:val="24"/>
        </w:rPr>
        <w:t xml:space="preserve">more </w:t>
      </w:r>
      <w:r w:rsidR="00426D31">
        <w:rPr>
          <w:sz w:val="24"/>
          <w:szCs w:val="24"/>
        </w:rPr>
        <w:t>clearly articulated</w:t>
      </w:r>
      <w:r w:rsidR="002C40D5">
        <w:rPr>
          <w:sz w:val="24"/>
          <w:szCs w:val="24"/>
        </w:rPr>
        <w:t>. There is evidence that</w:t>
      </w:r>
      <w:r w:rsidR="00426D31">
        <w:rPr>
          <w:sz w:val="24"/>
          <w:szCs w:val="24"/>
        </w:rPr>
        <w:t xml:space="preserve"> this has been translated into the most</w:t>
      </w:r>
      <w:r w:rsidR="00440B77">
        <w:rPr>
          <w:sz w:val="24"/>
          <w:szCs w:val="24"/>
        </w:rPr>
        <w:t xml:space="preserve"> </w:t>
      </w:r>
      <w:r w:rsidR="00426D31">
        <w:rPr>
          <w:sz w:val="24"/>
          <w:szCs w:val="24"/>
        </w:rPr>
        <w:t xml:space="preserve">recent </w:t>
      </w:r>
      <w:r w:rsidR="002C40D5">
        <w:rPr>
          <w:sz w:val="24"/>
          <w:szCs w:val="24"/>
        </w:rPr>
        <w:t>TPS</w:t>
      </w:r>
      <w:r w:rsidR="00426D31">
        <w:rPr>
          <w:sz w:val="24"/>
          <w:szCs w:val="24"/>
        </w:rPr>
        <w:t>.</w:t>
      </w:r>
      <w:r w:rsidR="00440B77">
        <w:rPr>
          <w:sz w:val="24"/>
          <w:szCs w:val="24"/>
        </w:rPr>
        <w:t xml:space="preserve"> </w:t>
      </w:r>
      <w:r w:rsidR="00335ED9">
        <w:rPr>
          <w:sz w:val="24"/>
          <w:szCs w:val="24"/>
        </w:rPr>
        <w:t xml:space="preserve">Further research is needed to understand the </w:t>
      </w:r>
      <w:r w:rsidR="00335ED9">
        <w:rPr>
          <w:sz w:val="24"/>
          <w:szCs w:val="24"/>
        </w:rPr>
        <w:lastRenderedPageBreak/>
        <w:t xml:space="preserve">effectiveness and rigour of the State assessment processes for TPS and issues for local government in expediting their TPS review.  </w:t>
      </w:r>
    </w:p>
    <w:p w:rsidR="00B72014" w:rsidRDefault="00C44DFF" w:rsidP="00C44DFF">
      <w:pPr>
        <w:jc w:val="both"/>
        <w:rPr>
          <w:sz w:val="24"/>
          <w:szCs w:val="24"/>
        </w:rPr>
      </w:pPr>
      <w:r>
        <w:rPr>
          <w:sz w:val="24"/>
          <w:szCs w:val="24"/>
        </w:rPr>
        <w:t xml:space="preserve">The relationship of other State planning policy to the State TOD policy has been examined. It is evident that policies which specify the status and land use mix at activity centres have been in conflict with the State TOD policy, in some periods promoting differing density requirements for example. The latest revision to State policy (Activity Centres 2010) designates just over half of all station precincts as some form of activity centre where mixed use and higher density residential development is directed.  </w:t>
      </w:r>
    </w:p>
    <w:p w:rsidR="00C44DFF" w:rsidRDefault="00242AEC" w:rsidP="0071011D">
      <w:pPr>
        <w:jc w:val="both"/>
        <w:rPr>
          <w:sz w:val="24"/>
          <w:szCs w:val="24"/>
        </w:rPr>
      </w:pPr>
      <w:r>
        <w:rPr>
          <w:sz w:val="24"/>
          <w:szCs w:val="24"/>
        </w:rPr>
        <w:t>It is</w:t>
      </w:r>
      <w:r w:rsidR="00C44DFF" w:rsidRPr="0071011D">
        <w:rPr>
          <w:sz w:val="24"/>
          <w:szCs w:val="24"/>
        </w:rPr>
        <w:t xml:space="preserve"> eviden</w:t>
      </w:r>
      <w:r>
        <w:rPr>
          <w:sz w:val="24"/>
          <w:szCs w:val="24"/>
        </w:rPr>
        <w:t>t</w:t>
      </w:r>
      <w:r w:rsidR="00C44DFF" w:rsidRPr="0071011D">
        <w:rPr>
          <w:sz w:val="24"/>
          <w:szCs w:val="24"/>
        </w:rPr>
        <w:t xml:space="preserve"> that </w:t>
      </w:r>
      <w:r>
        <w:rPr>
          <w:sz w:val="24"/>
          <w:szCs w:val="24"/>
        </w:rPr>
        <w:t xml:space="preserve">only limited </w:t>
      </w:r>
      <w:r w:rsidR="00335ED9">
        <w:rPr>
          <w:sz w:val="24"/>
          <w:szCs w:val="24"/>
        </w:rPr>
        <w:t xml:space="preserve">implementation, measured by </w:t>
      </w:r>
      <w:r w:rsidR="00C44DFF" w:rsidRPr="0071011D">
        <w:rPr>
          <w:sz w:val="24"/>
          <w:szCs w:val="24"/>
        </w:rPr>
        <w:t>development change</w:t>
      </w:r>
      <w:r w:rsidR="00335ED9">
        <w:rPr>
          <w:sz w:val="24"/>
          <w:szCs w:val="24"/>
        </w:rPr>
        <w:t>,</w:t>
      </w:r>
      <w:r w:rsidR="00B72014">
        <w:rPr>
          <w:sz w:val="24"/>
          <w:szCs w:val="24"/>
        </w:rPr>
        <w:t xml:space="preserve"> has occurred</w:t>
      </w:r>
      <w:r w:rsidR="00C44DFF" w:rsidRPr="0071011D">
        <w:rPr>
          <w:sz w:val="24"/>
          <w:szCs w:val="24"/>
        </w:rPr>
        <w:t xml:space="preserve">.  </w:t>
      </w:r>
      <w:r>
        <w:rPr>
          <w:sz w:val="24"/>
          <w:szCs w:val="24"/>
        </w:rPr>
        <w:t xml:space="preserve">Only seven of the 68 precincts had higher residential density development and all were in or close to the inner city. </w:t>
      </w:r>
      <w:r w:rsidR="00B911EC">
        <w:rPr>
          <w:sz w:val="24"/>
          <w:szCs w:val="24"/>
        </w:rPr>
        <w:t>Many</w:t>
      </w:r>
      <w:r>
        <w:rPr>
          <w:sz w:val="24"/>
          <w:szCs w:val="24"/>
        </w:rPr>
        <w:t xml:space="preserve"> precincts are underutilized </w:t>
      </w:r>
      <w:r w:rsidR="00B911EC">
        <w:rPr>
          <w:sz w:val="24"/>
          <w:szCs w:val="24"/>
        </w:rPr>
        <w:t>as regards</w:t>
      </w:r>
      <w:r>
        <w:rPr>
          <w:sz w:val="24"/>
          <w:szCs w:val="24"/>
        </w:rPr>
        <w:t xml:space="preserve"> d</w:t>
      </w:r>
      <w:r w:rsidR="00B911EC">
        <w:rPr>
          <w:sz w:val="24"/>
          <w:szCs w:val="24"/>
        </w:rPr>
        <w:t>evelopment intensity</w:t>
      </w:r>
      <w:r>
        <w:rPr>
          <w:sz w:val="24"/>
          <w:szCs w:val="24"/>
        </w:rPr>
        <w:t xml:space="preserve">.  </w:t>
      </w:r>
      <w:r w:rsidR="00B911EC">
        <w:rPr>
          <w:sz w:val="24"/>
          <w:szCs w:val="24"/>
        </w:rPr>
        <w:t>W</w:t>
      </w:r>
      <w:r w:rsidR="00C44DFF">
        <w:rPr>
          <w:sz w:val="24"/>
          <w:szCs w:val="24"/>
        </w:rPr>
        <w:t xml:space="preserve">here precincts do have conforming </w:t>
      </w:r>
      <w:r w:rsidR="00B911EC">
        <w:rPr>
          <w:sz w:val="24"/>
          <w:szCs w:val="24"/>
        </w:rPr>
        <w:t xml:space="preserve">TPS zoned </w:t>
      </w:r>
      <w:r w:rsidR="00C44DFF">
        <w:rPr>
          <w:sz w:val="24"/>
          <w:szCs w:val="24"/>
        </w:rPr>
        <w:t>residential densities</w:t>
      </w:r>
      <w:r w:rsidR="00B911EC">
        <w:rPr>
          <w:sz w:val="24"/>
          <w:szCs w:val="24"/>
        </w:rPr>
        <w:t>,</w:t>
      </w:r>
      <w:r w:rsidR="00C44DFF">
        <w:rPr>
          <w:sz w:val="24"/>
          <w:szCs w:val="24"/>
        </w:rPr>
        <w:t xml:space="preserve"> the planning regulation has not stipulated that these must be complied with. T</w:t>
      </w:r>
      <w:r w:rsidR="00C44DFF" w:rsidRPr="00920C5E">
        <w:rPr>
          <w:sz w:val="24"/>
          <w:szCs w:val="24"/>
        </w:rPr>
        <w:t xml:space="preserve">he developer </w:t>
      </w:r>
      <w:r w:rsidR="00C44DFF">
        <w:rPr>
          <w:sz w:val="24"/>
          <w:szCs w:val="24"/>
        </w:rPr>
        <w:t>has been</w:t>
      </w:r>
      <w:r w:rsidR="00C44DFF" w:rsidRPr="00920C5E">
        <w:rPr>
          <w:sz w:val="24"/>
          <w:szCs w:val="24"/>
        </w:rPr>
        <w:t xml:space="preserve"> at liberty to develop residential land at densities lower than the given </w:t>
      </w:r>
      <w:r w:rsidR="00C44DFF">
        <w:rPr>
          <w:sz w:val="24"/>
          <w:szCs w:val="24"/>
        </w:rPr>
        <w:t>zoning</w:t>
      </w:r>
      <w:r>
        <w:rPr>
          <w:sz w:val="24"/>
          <w:szCs w:val="24"/>
        </w:rPr>
        <w:t xml:space="preserve">. </w:t>
      </w:r>
    </w:p>
    <w:p w:rsidR="008E545C" w:rsidRDefault="0078083B" w:rsidP="008E545C">
      <w:pPr>
        <w:jc w:val="both"/>
        <w:rPr>
          <w:sz w:val="24"/>
          <w:szCs w:val="24"/>
        </w:rPr>
      </w:pPr>
      <w:r>
        <w:rPr>
          <w:sz w:val="24"/>
          <w:szCs w:val="24"/>
        </w:rPr>
        <w:t>Wh</w:t>
      </w:r>
      <w:r w:rsidR="00B911EC">
        <w:rPr>
          <w:sz w:val="24"/>
          <w:szCs w:val="24"/>
        </w:rPr>
        <w:t>ile</w:t>
      </w:r>
      <w:r>
        <w:rPr>
          <w:sz w:val="24"/>
          <w:szCs w:val="24"/>
        </w:rPr>
        <w:t xml:space="preserve"> the conventional planning </w:t>
      </w:r>
      <w:r w:rsidR="00B911EC">
        <w:rPr>
          <w:sz w:val="24"/>
          <w:szCs w:val="24"/>
        </w:rPr>
        <w:t>approach</w:t>
      </w:r>
      <w:r>
        <w:rPr>
          <w:sz w:val="24"/>
          <w:szCs w:val="24"/>
        </w:rPr>
        <w:t xml:space="preserve"> has delivered limited success, other models of implementation have offered a solution. W</w:t>
      </w:r>
      <w:r w:rsidR="008E545C">
        <w:rPr>
          <w:sz w:val="24"/>
          <w:szCs w:val="24"/>
        </w:rPr>
        <w:t xml:space="preserve">here </w:t>
      </w:r>
      <w:r>
        <w:rPr>
          <w:sz w:val="24"/>
          <w:szCs w:val="24"/>
        </w:rPr>
        <w:t>RDAs have been established</w:t>
      </w:r>
      <w:r w:rsidR="008E545C">
        <w:rPr>
          <w:sz w:val="24"/>
          <w:szCs w:val="24"/>
        </w:rPr>
        <w:t xml:space="preserve"> TOD policy </w:t>
      </w:r>
      <w:r>
        <w:rPr>
          <w:sz w:val="24"/>
          <w:szCs w:val="24"/>
        </w:rPr>
        <w:t>implementation has been effective</w:t>
      </w:r>
      <w:r w:rsidR="008E545C">
        <w:rPr>
          <w:sz w:val="24"/>
          <w:szCs w:val="24"/>
        </w:rPr>
        <w:t xml:space="preserve">, yet these </w:t>
      </w:r>
      <w:r>
        <w:rPr>
          <w:sz w:val="24"/>
          <w:szCs w:val="24"/>
        </w:rPr>
        <w:t>interventions</w:t>
      </w:r>
      <w:r w:rsidR="008E545C">
        <w:rPr>
          <w:sz w:val="24"/>
          <w:szCs w:val="24"/>
        </w:rPr>
        <w:t xml:space="preserve"> are few compared to the </w:t>
      </w:r>
      <w:r>
        <w:rPr>
          <w:sz w:val="24"/>
          <w:szCs w:val="24"/>
        </w:rPr>
        <w:t xml:space="preserve">total </w:t>
      </w:r>
      <w:r w:rsidR="008E545C">
        <w:rPr>
          <w:sz w:val="24"/>
          <w:szCs w:val="24"/>
        </w:rPr>
        <w:t>number of precincts</w:t>
      </w:r>
      <w:r>
        <w:rPr>
          <w:sz w:val="24"/>
          <w:szCs w:val="24"/>
        </w:rPr>
        <w:t xml:space="preserve"> </w:t>
      </w:r>
      <w:r w:rsidR="00B911EC">
        <w:rPr>
          <w:sz w:val="24"/>
          <w:szCs w:val="24"/>
        </w:rPr>
        <w:t>and this</w:t>
      </w:r>
      <w:r>
        <w:rPr>
          <w:sz w:val="24"/>
          <w:szCs w:val="24"/>
        </w:rPr>
        <w:t xml:space="preserve"> l</w:t>
      </w:r>
      <w:r w:rsidR="008E545C">
        <w:rPr>
          <w:sz w:val="24"/>
          <w:szCs w:val="24"/>
        </w:rPr>
        <w:t>imit</w:t>
      </w:r>
      <w:r>
        <w:rPr>
          <w:sz w:val="24"/>
          <w:szCs w:val="24"/>
        </w:rPr>
        <w:t>s</w:t>
      </w:r>
      <w:r w:rsidR="008E545C">
        <w:rPr>
          <w:sz w:val="24"/>
          <w:szCs w:val="24"/>
        </w:rPr>
        <w:t xml:space="preserve"> the impact</w:t>
      </w:r>
      <w:r>
        <w:rPr>
          <w:sz w:val="24"/>
          <w:szCs w:val="24"/>
        </w:rPr>
        <w:t xml:space="preserve"> of </w:t>
      </w:r>
      <w:r w:rsidR="00B911EC">
        <w:rPr>
          <w:sz w:val="24"/>
          <w:szCs w:val="24"/>
        </w:rPr>
        <w:t xml:space="preserve">TOD </w:t>
      </w:r>
      <w:r>
        <w:rPr>
          <w:sz w:val="24"/>
          <w:szCs w:val="24"/>
        </w:rPr>
        <w:t>policy</w:t>
      </w:r>
      <w:r w:rsidR="00B911EC">
        <w:rPr>
          <w:sz w:val="24"/>
          <w:szCs w:val="24"/>
        </w:rPr>
        <w:t xml:space="preserve"> across the metropolitan area</w:t>
      </w:r>
      <w:r>
        <w:rPr>
          <w:sz w:val="24"/>
          <w:szCs w:val="24"/>
        </w:rPr>
        <w:t>.  Using an RDA model also limits</w:t>
      </w:r>
      <w:r w:rsidR="008E545C">
        <w:rPr>
          <w:sz w:val="24"/>
          <w:szCs w:val="24"/>
        </w:rPr>
        <w:t xml:space="preserve"> the potential to develop local planning capacity.</w:t>
      </w:r>
      <w:r>
        <w:rPr>
          <w:sz w:val="24"/>
          <w:szCs w:val="24"/>
        </w:rPr>
        <w:t xml:space="preserve">  </w:t>
      </w:r>
      <w:r w:rsidR="00D1128C">
        <w:rPr>
          <w:sz w:val="24"/>
          <w:szCs w:val="24"/>
        </w:rPr>
        <w:t xml:space="preserve">Where an RDA model is used, the agency acts as developer and the local government and community are removed from the planning process. </w:t>
      </w:r>
      <w:r>
        <w:rPr>
          <w:sz w:val="24"/>
          <w:szCs w:val="24"/>
        </w:rPr>
        <w:t xml:space="preserve">Further research is </w:t>
      </w:r>
      <w:r w:rsidR="000F1907">
        <w:rPr>
          <w:sz w:val="24"/>
          <w:szCs w:val="24"/>
        </w:rPr>
        <w:t>needed</w:t>
      </w:r>
      <w:r>
        <w:rPr>
          <w:sz w:val="24"/>
          <w:szCs w:val="24"/>
        </w:rPr>
        <w:t xml:space="preserve"> in order to understand the </w:t>
      </w:r>
      <w:r w:rsidR="00B911EC">
        <w:rPr>
          <w:sz w:val="24"/>
          <w:szCs w:val="24"/>
        </w:rPr>
        <w:t xml:space="preserve">interplay between local government, </w:t>
      </w:r>
      <w:r>
        <w:rPr>
          <w:sz w:val="24"/>
          <w:szCs w:val="24"/>
        </w:rPr>
        <w:t>the property market, development industry and community</w:t>
      </w:r>
      <w:r w:rsidR="00D1128C">
        <w:rPr>
          <w:sz w:val="24"/>
          <w:szCs w:val="24"/>
        </w:rPr>
        <w:t xml:space="preserve"> in relation to the implementation of TOD using the conventional planning </w:t>
      </w:r>
      <w:r w:rsidR="00B911EC">
        <w:rPr>
          <w:sz w:val="24"/>
          <w:szCs w:val="24"/>
        </w:rPr>
        <w:t>approach</w:t>
      </w:r>
      <w:r w:rsidR="00D1128C">
        <w:rPr>
          <w:sz w:val="24"/>
          <w:szCs w:val="24"/>
        </w:rPr>
        <w:t>.</w:t>
      </w:r>
    </w:p>
    <w:p w:rsidR="004D0D12" w:rsidRDefault="0071011D" w:rsidP="0071011D">
      <w:pPr>
        <w:jc w:val="both"/>
        <w:rPr>
          <w:sz w:val="24"/>
          <w:szCs w:val="24"/>
        </w:rPr>
      </w:pPr>
      <w:r w:rsidRPr="0071011D">
        <w:rPr>
          <w:sz w:val="24"/>
          <w:szCs w:val="24"/>
        </w:rPr>
        <w:t xml:space="preserve">The </w:t>
      </w:r>
      <w:r w:rsidR="000F1907">
        <w:rPr>
          <w:sz w:val="24"/>
          <w:szCs w:val="24"/>
        </w:rPr>
        <w:t>research</w:t>
      </w:r>
      <w:r w:rsidRPr="0071011D">
        <w:rPr>
          <w:sz w:val="24"/>
          <w:szCs w:val="24"/>
        </w:rPr>
        <w:t xml:space="preserve"> has shown that government is not entirely without capacity to implement </w:t>
      </w:r>
      <w:r w:rsidR="00AA51F4">
        <w:rPr>
          <w:sz w:val="24"/>
          <w:szCs w:val="24"/>
        </w:rPr>
        <w:t>TOD</w:t>
      </w:r>
      <w:r w:rsidRPr="0071011D">
        <w:rPr>
          <w:sz w:val="24"/>
          <w:szCs w:val="24"/>
        </w:rPr>
        <w:t xml:space="preserve"> </w:t>
      </w:r>
      <w:r w:rsidR="00AA51F4">
        <w:rPr>
          <w:sz w:val="24"/>
          <w:szCs w:val="24"/>
        </w:rPr>
        <w:t>y</w:t>
      </w:r>
      <w:r w:rsidRPr="0071011D">
        <w:rPr>
          <w:sz w:val="24"/>
          <w:szCs w:val="24"/>
        </w:rPr>
        <w:t xml:space="preserve">et the effect on urban development by 2007, after a policy running over 20 years, has been modest and patchy. There is a significant ‘implementation gap’. </w:t>
      </w:r>
      <w:r w:rsidR="00BD6572">
        <w:rPr>
          <w:sz w:val="24"/>
          <w:szCs w:val="24"/>
        </w:rPr>
        <w:t>There are important lessons for future planning for TOD</w:t>
      </w:r>
      <w:r w:rsidR="00AA51F4">
        <w:rPr>
          <w:sz w:val="24"/>
          <w:szCs w:val="24"/>
        </w:rPr>
        <w:t>.</w:t>
      </w:r>
      <w:r w:rsidR="00BD6572">
        <w:rPr>
          <w:sz w:val="24"/>
          <w:szCs w:val="24"/>
        </w:rPr>
        <w:t xml:space="preserve"> </w:t>
      </w:r>
      <w:r w:rsidR="00AA51F4">
        <w:rPr>
          <w:sz w:val="24"/>
          <w:szCs w:val="24"/>
        </w:rPr>
        <w:t>It would appear that</w:t>
      </w:r>
      <w:r w:rsidR="00BD6572">
        <w:rPr>
          <w:sz w:val="24"/>
          <w:szCs w:val="24"/>
        </w:rPr>
        <w:t xml:space="preserve"> action </w:t>
      </w:r>
      <w:r w:rsidR="00AA51F4">
        <w:rPr>
          <w:sz w:val="24"/>
          <w:szCs w:val="24"/>
        </w:rPr>
        <w:t xml:space="preserve">is </w:t>
      </w:r>
      <w:r w:rsidR="00BD6572">
        <w:rPr>
          <w:sz w:val="24"/>
          <w:szCs w:val="24"/>
        </w:rPr>
        <w:t xml:space="preserve">necessary by State and local town planners </w:t>
      </w:r>
      <w:r w:rsidR="00AA51F4">
        <w:rPr>
          <w:sz w:val="24"/>
          <w:szCs w:val="24"/>
        </w:rPr>
        <w:t>and</w:t>
      </w:r>
      <w:r w:rsidR="00BD6572">
        <w:rPr>
          <w:sz w:val="24"/>
          <w:szCs w:val="24"/>
        </w:rPr>
        <w:t xml:space="preserve"> public transport planners.  At the State level</w:t>
      </w:r>
      <w:r w:rsidR="00AA51F4">
        <w:rPr>
          <w:sz w:val="24"/>
          <w:szCs w:val="24"/>
        </w:rPr>
        <w:t>,</w:t>
      </w:r>
      <w:r w:rsidR="00BD6572">
        <w:rPr>
          <w:sz w:val="24"/>
          <w:szCs w:val="24"/>
        </w:rPr>
        <w:t xml:space="preserve"> the most recent </w:t>
      </w:r>
      <w:r w:rsidR="00AA51F4">
        <w:rPr>
          <w:sz w:val="24"/>
          <w:szCs w:val="24"/>
        </w:rPr>
        <w:t xml:space="preserve">2005 </w:t>
      </w:r>
      <w:r w:rsidR="00BD6572">
        <w:rPr>
          <w:sz w:val="24"/>
          <w:szCs w:val="24"/>
        </w:rPr>
        <w:t xml:space="preserve">TOD policy is prescriptive but there </w:t>
      </w:r>
      <w:r w:rsidR="00AA51F4">
        <w:rPr>
          <w:sz w:val="24"/>
          <w:szCs w:val="24"/>
        </w:rPr>
        <w:t>is</w:t>
      </w:r>
      <w:r w:rsidR="00BD6572">
        <w:rPr>
          <w:sz w:val="24"/>
          <w:szCs w:val="24"/>
        </w:rPr>
        <w:t xml:space="preserve"> ambiguity about density definitions</w:t>
      </w:r>
      <w:r w:rsidR="000F1907">
        <w:rPr>
          <w:sz w:val="24"/>
          <w:szCs w:val="24"/>
        </w:rPr>
        <w:t xml:space="preserve"> and </w:t>
      </w:r>
      <w:r w:rsidR="00AA51F4">
        <w:rPr>
          <w:sz w:val="24"/>
          <w:szCs w:val="24"/>
        </w:rPr>
        <w:t xml:space="preserve">conflicts </w:t>
      </w:r>
      <w:r w:rsidR="000F1907">
        <w:rPr>
          <w:sz w:val="24"/>
          <w:szCs w:val="24"/>
        </w:rPr>
        <w:t>with</w:t>
      </w:r>
      <w:r w:rsidR="00AA51F4">
        <w:rPr>
          <w:sz w:val="24"/>
          <w:szCs w:val="24"/>
        </w:rPr>
        <w:t xml:space="preserve"> the new 2010 Activity Centres policy. T</w:t>
      </w:r>
      <w:r w:rsidR="004D0D12">
        <w:rPr>
          <w:sz w:val="24"/>
          <w:szCs w:val="24"/>
        </w:rPr>
        <w:t>he introduction of minimum density standards</w:t>
      </w:r>
      <w:r w:rsidR="00AA51F4">
        <w:rPr>
          <w:sz w:val="24"/>
          <w:szCs w:val="24"/>
        </w:rPr>
        <w:t xml:space="preserve"> will need to be monitored to see if this results in implementation or whether other incentives</w:t>
      </w:r>
      <w:r w:rsidR="000F1907">
        <w:rPr>
          <w:sz w:val="24"/>
          <w:szCs w:val="24"/>
        </w:rPr>
        <w:t xml:space="preserve"> will be needed</w:t>
      </w:r>
      <w:r w:rsidR="00AA51F4">
        <w:rPr>
          <w:sz w:val="24"/>
          <w:szCs w:val="24"/>
        </w:rPr>
        <w:t xml:space="preserve"> for the development industry to participate</w:t>
      </w:r>
      <w:r w:rsidR="004D0D12">
        <w:rPr>
          <w:sz w:val="24"/>
          <w:szCs w:val="24"/>
        </w:rPr>
        <w:t>.</w:t>
      </w:r>
      <w:r w:rsidR="00006450">
        <w:rPr>
          <w:sz w:val="24"/>
          <w:szCs w:val="24"/>
        </w:rPr>
        <w:t xml:space="preserve"> Other state jurisdictions </w:t>
      </w:r>
      <w:r w:rsidR="007639F9">
        <w:rPr>
          <w:sz w:val="24"/>
          <w:szCs w:val="24"/>
        </w:rPr>
        <w:t>suggest offering</w:t>
      </w:r>
      <w:r w:rsidR="00006450">
        <w:rPr>
          <w:sz w:val="24"/>
          <w:szCs w:val="24"/>
        </w:rPr>
        <w:t xml:space="preserve"> incentives (see for example the 2002 California Statewide TOD study</w:t>
      </w:r>
      <w:r w:rsidR="00604739">
        <w:rPr>
          <w:sz w:val="24"/>
          <w:szCs w:val="24"/>
        </w:rPr>
        <w:t>, BTHA and CALTRANS, 2002</w:t>
      </w:r>
      <w:r w:rsidR="00006450">
        <w:rPr>
          <w:sz w:val="24"/>
          <w:szCs w:val="24"/>
        </w:rPr>
        <w:t xml:space="preserve">).  </w:t>
      </w:r>
      <w:r w:rsidR="006E6E25">
        <w:rPr>
          <w:sz w:val="24"/>
          <w:szCs w:val="24"/>
        </w:rPr>
        <w:t xml:space="preserve">State </w:t>
      </w:r>
      <w:r w:rsidR="00BD6572">
        <w:rPr>
          <w:sz w:val="24"/>
          <w:szCs w:val="24"/>
        </w:rPr>
        <w:t>regulation and process</w:t>
      </w:r>
      <w:r w:rsidR="000F1907">
        <w:rPr>
          <w:sz w:val="24"/>
          <w:szCs w:val="24"/>
        </w:rPr>
        <w:t>es</w:t>
      </w:r>
      <w:r w:rsidR="00BD6572">
        <w:rPr>
          <w:sz w:val="24"/>
          <w:szCs w:val="24"/>
        </w:rPr>
        <w:t xml:space="preserve"> provide for </w:t>
      </w:r>
      <w:r w:rsidR="00006450">
        <w:rPr>
          <w:sz w:val="24"/>
          <w:szCs w:val="24"/>
        </w:rPr>
        <w:t>TPS</w:t>
      </w:r>
      <w:r w:rsidR="00BD6572">
        <w:rPr>
          <w:sz w:val="24"/>
          <w:szCs w:val="24"/>
        </w:rPr>
        <w:t xml:space="preserve"> to conform to state policy.  </w:t>
      </w:r>
      <w:r w:rsidR="006E6E25">
        <w:rPr>
          <w:sz w:val="24"/>
          <w:szCs w:val="24"/>
        </w:rPr>
        <w:t>A key problem appears in the number of schemes that have not bee</w:t>
      </w:r>
      <w:r w:rsidR="00006450">
        <w:rPr>
          <w:sz w:val="24"/>
          <w:szCs w:val="24"/>
        </w:rPr>
        <w:t>n fully replaced for many years</w:t>
      </w:r>
      <w:r w:rsidR="006E6E25">
        <w:rPr>
          <w:sz w:val="24"/>
          <w:szCs w:val="24"/>
        </w:rPr>
        <w:t>. The regulation envisages schemes be fully updated every five years</w:t>
      </w:r>
      <w:r w:rsidR="00006450">
        <w:rPr>
          <w:sz w:val="24"/>
          <w:szCs w:val="24"/>
        </w:rPr>
        <w:t>,</w:t>
      </w:r>
      <w:r w:rsidR="00671005">
        <w:rPr>
          <w:sz w:val="24"/>
          <w:szCs w:val="24"/>
        </w:rPr>
        <w:t xml:space="preserve"> </w:t>
      </w:r>
      <w:r w:rsidR="006E6E25">
        <w:rPr>
          <w:sz w:val="24"/>
          <w:szCs w:val="24"/>
        </w:rPr>
        <w:t xml:space="preserve">by ensuring this is done content related to TOD precincts </w:t>
      </w:r>
      <w:r w:rsidR="00006450">
        <w:rPr>
          <w:sz w:val="24"/>
          <w:szCs w:val="24"/>
        </w:rPr>
        <w:t>could</w:t>
      </w:r>
      <w:r w:rsidR="006E6E25">
        <w:rPr>
          <w:sz w:val="24"/>
          <w:szCs w:val="24"/>
        </w:rPr>
        <w:t xml:space="preserve"> be fully assessed.  </w:t>
      </w:r>
    </w:p>
    <w:p w:rsidR="00B911EC" w:rsidRDefault="00B911EC" w:rsidP="00B911EC">
      <w:pPr>
        <w:jc w:val="both"/>
        <w:rPr>
          <w:sz w:val="24"/>
          <w:szCs w:val="24"/>
        </w:rPr>
      </w:pPr>
      <w:r>
        <w:rPr>
          <w:sz w:val="24"/>
          <w:szCs w:val="24"/>
        </w:rPr>
        <w:t xml:space="preserve">The building of new railways and station precincts has offered new opportunity to implement TOD policy. It is evident, however, that TPS are not updated ahead of railway opening – a case of planners not planning ahead! </w:t>
      </w:r>
      <w:r w:rsidR="006D4397">
        <w:rPr>
          <w:sz w:val="24"/>
          <w:szCs w:val="24"/>
        </w:rPr>
        <w:t>There has been an ambiguity between railway planners and town planners about the function of some station precincts.  The approach for new railways in Perth has been to focus on stations as transit interchanges whereby large car-based catchments can be drawn on rather than walking catchment (see Curtis, 2008 for details). C</w:t>
      </w:r>
      <w:r w:rsidR="006E6E25">
        <w:rPr>
          <w:sz w:val="24"/>
          <w:szCs w:val="24"/>
        </w:rPr>
        <w:t xml:space="preserve">ollaboration </w:t>
      </w:r>
      <w:r w:rsidR="006D4397">
        <w:rPr>
          <w:sz w:val="24"/>
          <w:szCs w:val="24"/>
        </w:rPr>
        <w:t xml:space="preserve">is needed </w:t>
      </w:r>
      <w:r w:rsidR="006E6E25">
        <w:rPr>
          <w:sz w:val="24"/>
          <w:szCs w:val="24"/>
        </w:rPr>
        <w:lastRenderedPageBreak/>
        <w:t>between public transport planners</w:t>
      </w:r>
      <w:r w:rsidR="006D4397">
        <w:rPr>
          <w:sz w:val="24"/>
          <w:szCs w:val="24"/>
        </w:rPr>
        <w:t xml:space="preserve"> </w:t>
      </w:r>
      <w:r w:rsidR="004D0D12">
        <w:rPr>
          <w:sz w:val="24"/>
          <w:szCs w:val="24"/>
        </w:rPr>
        <w:t>and state town planners</w:t>
      </w:r>
      <w:r w:rsidR="00FC4CF3">
        <w:rPr>
          <w:sz w:val="24"/>
          <w:szCs w:val="24"/>
        </w:rPr>
        <w:t xml:space="preserve"> in order to consider the role and function of each precinct.</w:t>
      </w:r>
      <w:r w:rsidR="004D0D12">
        <w:rPr>
          <w:sz w:val="24"/>
          <w:szCs w:val="24"/>
        </w:rPr>
        <w:t xml:space="preserve">  </w:t>
      </w:r>
      <w:r>
        <w:rPr>
          <w:sz w:val="24"/>
          <w:szCs w:val="24"/>
        </w:rPr>
        <w:t xml:space="preserve">There appears a serious shortcoming in the planning process which requires further research. </w:t>
      </w:r>
    </w:p>
    <w:p w:rsidR="00E02CA6" w:rsidRDefault="00E02CA6" w:rsidP="0071011D">
      <w:pPr>
        <w:jc w:val="both"/>
        <w:rPr>
          <w:sz w:val="24"/>
          <w:szCs w:val="24"/>
        </w:rPr>
      </w:pPr>
      <w:r>
        <w:rPr>
          <w:sz w:val="24"/>
          <w:szCs w:val="24"/>
        </w:rPr>
        <w:t>The empirical evidence clearly identifies an implementation gap but does not research the reasons for that gap.  There are a number of possible explanations drawn from the author</w:t>
      </w:r>
      <w:r w:rsidR="000F1907">
        <w:rPr>
          <w:sz w:val="24"/>
          <w:szCs w:val="24"/>
        </w:rPr>
        <w:t>’</w:t>
      </w:r>
      <w:r>
        <w:rPr>
          <w:sz w:val="24"/>
          <w:szCs w:val="24"/>
        </w:rPr>
        <w:t xml:space="preserve">s </w:t>
      </w:r>
      <w:r w:rsidR="000F1907">
        <w:rPr>
          <w:sz w:val="24"/>
          <w:szCs w:val="24"/>
        </w:rPr>
        <w:t xml:space="preserve">own experience of </w:t>
      </w:r>
      <w:r>
        <w:rPr>
          <w:sz w:val="24"/>
          <w:szCs w:val="24"/>
        </w:rPr>
        <w:t>planning practice and research within the region.</w:t>
      </w:r>
      <w:r w:rsidRPr="00E02CA6">
        <w:rPr>
          <w:sz w:val="24"/>
          <w:szCs w:val="24"/>
        </w:rPr>
        <w:t xml:space="preserve"> </w:t>
      </w:r>
      <w:r>
        <w:rPr>
          <w:sz w:val="24"/>
          <w:szCs w:val="24"/>
        </w:rPr>
        <w:t xml:space="preserve">A further research agenda should examine: </w:t>
      </w:r>
    </w:p>
    <w:p w:rsidR="00E02CA6" w:rsidRDefault="00E02CA6" w:rsidP="00E02CA6">
      <w:pPr>
        <w:pStyle w:val="ListParagraph"/>
        <w:numPr>
          <w:ilvl w:val="0"/>
          <w:numId w:val="3"/>
        </w:numPr>
        <w:jc w:val="both"/>
        <w:rPr>
          <w:sz w:val="24"/>
          <w:szCs w:val="24"/>
        </w:rPr>
      </w:pPr>
      <w:r>
        <w:rPr>
          <w:sz w:val="24"/>
          <w:szCs w:val="24"/>
        </w:rPr>
        <w:t>W</w:t>
      </w:r>
      <w:r w:rsidRPr="00E02CA6">
        <w:rPr>
          <w:sz w:val="24"/>
          <w:szCs w:val="24"/>
        </w:rPr>
        <w:t>hy some local governments have not amended their TPS to conform with state policy;</w:t>
      </w:r>
    </w:p>
    <w:p w:rsidR="00E02CA6" w:rsidRPr="00E02CA6" w:rsidRDefault="00E02CA6" w:rsidP="0071011D">
      <w:pPr>
        <w:pStyle w:val="ListParagraph"/>
        <w:numPr>
          <w:ilvl w:val="0"/>
          <w:numId w:val="3"/>
        </w:numPr>
        <w:jc w:val="both"/>
        <w:rPr>
          <w:sz w:val="24"/>
          <w:szCs w:val="24"/>
          <w:lang w:val="en-GB"/>
        </w:rPr>
      </w:pPr>
      <w:r w:rsidRPr="00E02CA6">
        <w:rPr>
          <w:sz w:val="24"/>
          <w:szCs w:val="24"/>
        </w:rPr>
        <w:t>Why development has not taken place in station precincts – does this reflect a lack of interest by the development industry</w:t>
      </w:r>
      <w:r w:rsidR="0057234A">
        <w:rPr>
          <w:sz w:val="24"/>
          <w:szCs w:val="24"/>
        </w:rPr>
        <w:t xml:space="preserve"> or</w:t>
      </w:r>
      <w:r w:rsidRPr="00E02CA6">
        <w:rPr>
          <w:sz w:val="24"/>
          <w:szCs w:val="24"/>
        </w:rPr>
        <w:t xml:space="preserve"> </w:t>
      </w:r>
      <w:r w:rsidR="000F1907" w:rsidRPr="00E02CA6">
        <w:rPr>
          <w:sz w:val="24"/>
          <w:szCs w:val="24"/>
        </w:rPr>
        <w:t>unwillingness</w:t>
      </w:r>
      <w:r w:rsidRPr="00E02CA6">
        <w:rPr>
          <w:sz w:val="24"/>
          <w:szCs w:val="24"/>
        </w:rPr>
        <w:t xml:space="preserve"> by local government to enforce policy, perhaps reflecting community opposition to development change</w:t>
      </w:r>
      <w:r w:rsidR="0057234A">
        <w:rPr>
          <w:sz w:val="24"/>
          <w:szCs w:val="24"/>
        </w:rPr>
        <w:t>?</w:t>
      </w:r>
      <w:r w:rsidRPr="00E02CA6">
        <w:rPr>
          <w:sz w:val="24"/>
          <w:szCs w:val="24"/>
        </w:rPr>
        <w:t xml:space="preserve"> </w:t>
      </w:r>
    </w:p>
    <w:p w:rsidR="00E02CA6" w:rsidRPr="00E02CA6" w:rsidRDefault="00E02CA6" w:rsidP="0071011D">
      <w:pPr>
        <w:pStyle w:val="ListParagraph"/>
        <w:numPr>
          <w:ilvl w:val="0"/>
          <w:numId w:val="3"/>
        </w:numPr>
        <w:jc w:val="both"/>
        <w:rPr>
          <w:sz w:val="24"/>
          <w:szCs w:val="24"/>
          <w:lang w:val="en-GB"/>
        </w:rPr>
      </w:pPr>
      <w:r>
        <w:rPr>
          <w:sz w:val="24"/>
          <w:szCs w:val="24"/>
        </w:rPr>
        <w:t xml:space="preserve">How else </w:t>
      </w:r>
      <w:r w:rsidR="000F1907" w:rsidRPr="00E02CA6">
        <w:rPr>
          <w:sz w:val="24"/>
          <w:szCs w:val="24"/>
        </w:rPr>
        <w:t xml:space="preserve">can </w:t>
      </w:r>
      <w:r w:rsidRPr="00E02CA6">
        <w:rPr>
          <w:sz w:val="24"/>
          <w:szCs w:val="24"/>
        </w:rPr>
        <w:t xml:space="preserve">the State support implementation of TOD </w:t>
      </w:r>
      <w:r>
        <w:rPr>
          <w:sz w:val="24"/>
          <w:szCs w:val="24"/>
        </w:rPr>
        <w:t>b</w:t>
      </w:r>
      <w:r w:rsidR="00FC4CF3" w:rsidRPr="00E02CA6">
        <w:rPr>
          <w:sz w:val="24"/>
          <w:szCs w:val="24"/>
        </w:rPr>
        <w:t xml:space="preserve">eyond </w:t>
      </w:r>
      <w:r>
        <w:rPr>
          <w:sz w:val="24"/>
          <w:szCs w:val="24"/>
        </w:rPr>
        <w:t>its</w:t>
      </w:r>
      <w:r w:rsidR="00FC4CF3" w:rsidRPr="00E02CA6">
        <w:rPr>
          <w:sz w:val="24"/>
          <w:szCs w:val="24"/>
        </w:rPr>
        <w:t xml:space="preserve"> policy mandate for TOD and </w:t>
      </w:r>
      <w:r>
        <w:rPr>
          <w:sz w:val="24"/>
          <w:szCs w:val="24"/>
        </w:rPr>
        <w:t xml:space="preserve">the use of </w:t>
      </w:r>
      <w:r w:rsidR="00FC4CF3" w:rsidRPr="00E02CA6">
        <w:rPr>
          <w:sz w:val="24"/>
          <w:szCs w:val="24"/>
        </w:rPr>
        <w:t>RDAs</w:t>
      </w:r>
      <w:r>
        <w:rPr>
          <w:sz w:val="24"/>
          <w:szCs w:val="24"/>
        </w:rPr>
        <w:t>:</w:t>
      </w:r>
    </w:p>
    <w:p w:rsidR="00E02CA6" w:rsidRPr="00104AB6" w:rsidRDefault="00E02CA6" w:rsidP="00E02CA6">
      <w:pPr>
        <w:pStyle w:val="ListParagraph"/>
        <w:numPr>
          <w:ilvl w:val="1"/>
          <w:numId w:val="3"/>
        </w:numPr>
        <w:jc w:val="both"/>
        <w:rPr>
          <w:sz w:val="24"/>
          <w:szCs w:val="24"/>
          <w:lang w:val="en-GB"/>
        </w:rPr>
      </w:pPr>
      <w:r>
        <w:rPr>
          <w:sz w:val="24"/>
          <w:szCs w:val="24"/>
        </w:rPr>
        <w:t xml:space="preserve">Would </w:t>
      </w:r>
      <w:r w:rsidR="00FC4CF3" w:rsidRPr="00E02CA6">
        <w:rPr>
          <w:sz w:val="24"/>
          <w:szCs w:val="24"/>
        </w:rPr>
        <w:t xml:space="preserve">local government </w:t>
      </w:r>
      <w:r>
        <w:rPr>
          <w:sz w:val="24"/>
          <w:szCs w:val="24"/>
        </w:rPr>
        <w:t xml:space="preserve">benefit from the </w:t>
      </w:r>
      <w:r w:rsidR="00FC4CF3" w:rsidRPr="00E02CA6">
        <w:rPr>
          <w:sz w:val="24"/>
          <w:szCs w:val="24"/>
        </w:rPr>
        <w:t xml:space="preserve">provision of a </w:t>
      </w:r>
      <w:r w:rsidR="00FA03CE" w:rsidRPr="00E02CA6">
        <w:rPr>
          <w:sz w:val="24"/>
          <w:szCs w:val="24"/>
        </w:rPr>
        <w:t xml:space="preserve">model scheme text </w:t>
      </w:r>
      <w:r>
        <w:rPr>
          <w:sz w:val="24"/>
          <w:szCs w:val="24"/>
        </w:rPr>
        <w:t xml:space="preserve">or design guidelines </w:t>
      </w:r>
      <w:r w:rsidR="00FA03CE" w:rsidRPr="00E02CA6">
        <w:rPr>
          <w:sz w:val="24"/>
          <w:szCs w:val="24"/>
        </w:rPr>
        <w:t>for station precincts</w:t>
      </w:r>
      <w:r>
        <w:rPr>
          <w:sz w:val="24"/>
          <w:szCs w:val="24"/>
        </w:rPr>
        <w:t>?</w:t>
      </w:r>
    </w:p>
    <w:p w:rsidR="00104AB6" w:rsidRPr="00E02CA6" w:rsidRDefault="00104AB6" w:rsidP="00E02CA6">
      <w:pPr>
        <w:pStyle w:val="ListParagraph"/>
        <w:numPr>
          <w:ilvl w:val="1"/>
          <w:numId w:val="3"/>
        </w:numPr>
        <w:jc w:val="both"/>
        <w:rPr>
          <w:sz w:val="24"/>
          <w:szCs w:val="24"/>
          <w:lang w:val="en-GB"/>
        </w:rPr>
      </w:pPr>
      <w:r>
        <w:rPr>
          <w:sz w:val="24"/>
          <w:szCs w:val="24"/>
        </w:rPr>
        <w:t>What competency and skills exist for TOD implementation?</w:t>
      </w:r>
    </w:p>
    <w:p w:rsidR="00E02CA6" w:rsidRPr="00E02CA6" w:rsidRDefault="00E02CA6" w:rsidP="00E02CA6">
      <w:pPr>
        <w:pStyle w:val="ListParagraph"/>
        <w:numPr>
          <w:ilvl w:val="1"/>
          <w:numId w:val="3"/>
        </w:numPr>
        <w:jc w:val="both"/>
        <w:rPr>
          <w:sz w:val="24"/>
          <w:szCs w:val="24"/>
          <w:lang w:val="en-GB"/>
        </w:rPr>
      </w:pPr>
      <w:r>
        <w:rPr>
          <w:sz w:val="24"/>
          <w:szCs w:val="24"/>
        </w:rPr>
        <w:t xml:space="preserve">Would </w:t>
      </w:r>
      <w:r w:rsidR="00FA03CE" w:rsidRPr="00E02CA6">
        <w:rPr>
          <w:sz w:val="24"/>
          <w:szCs w:val="24"/>
        </w:rPr>
        <w:t>collaborative working between state and local planners on station precinct site planning assist</w:t>
      </w:r>
      <w:r>
        <w:rPr>
          <w:sz w:val="24"/>
          <w:szCs w:val="24"/>
        </w:rPr>
        <w:t xml:space="preserve"> (assuming resources are scarce for local planners)</w:t>
      </w:r>
      <w:r w:rsidR="00FA03CE" w:rsidRPr="00E02CA6">
        <w:rPr>
          <w:sz w:val="24"/>
          <w:szCs w:val="24"/>
        </w:rPr>
        <w:t xml:space="preserve">.  </w:t>
      </w:r>
    </w:p>
    <w:p w:rsidR="00FC4CF3" w:rsidRPr="00E02CA6" w:rsidRDefault="00E02CA6" w:rsidP="00E02CA6">
      <w:pPr>
        <w:pStyle w:val="ListParagraph"/>
        <w:numPr>
          <w:ilvl w:val="1"/>
          <w:numId w:val="3"/>
        </w:numPr>
        <w:jc w:val="both"/>
        <w:rPr>
          <w:b/>
          <w:sz w:val="24"/>
          <w:szCs w:val="24"/>
          <w:lang w:val="en-GB"/>
        </w:rPr>
      </w:pPr>
      <w:r w:rsidRPr="00E02CA6">
        <w:rPr>
          <w:sz w:val="24"/>
          <w:szCs w:val="24"/>
        </w:rPr>
        <w:t>W</w:t>
      </w:r>
      <w:r w:rsidR="00FA03CE" w:rsidRPr="00E02CA6">
        <w:rPr>
          <w:sz w:val="24"/>
          <w:szCs w:val="24"/>
        </w:rPr>
        <w:t xml:space="preserve">hat incentives and disincentives may be needed to ensure development takes place in station </w:t>
      </w:r>
      <w:r w:rsidRPr="00E02CA6">
        <w:rPr>
          <w:sz w:val="24"/>
          <w:szCs w:val="24"/>
        </w:rPr>
        <w:t>precincts?</w:t>
      </w:r>
      <w:r w:rsidR="00FC4CF3" w:rsidRPr="00E02CA6">
        <w:rPr>
          <w:sz w:val="24"/>
          <w:szCs w:val="24"/>
        </w:rPr>
        <w:t xml:space="preserve"> These might include, for example remediation of brown field sites and provision of other infrastructure. </w:t>
      </w:r>
    </w:p>
    <w:p w:rsidR="00E02CA6" w:rsidRDefault="00E02CA6">
      <w:pPr>
        <w:rPr>
          <w:b/>
          <w:sz w:val="24"/>
          <w:szCs w:val="24"/>
          <w:lang w:val="en-GB"/>
        </w:rPr>
      </w:pPr>
    </w:p>
    <w:p w:rsidR="00377509" w:rsidRDefault="00377509">
      <w:pPr>
        <w:rPr>
          <w:b/>
          <w:sz w:val="24"/>
          <w:szCs w:val="24"/>
          <w:lang w:val="en-GB"/>
        </w:rPr>
      </w:pPr>
      <w:r>
        <w:rPr>
          <w:b/>
          <w:sz w:val="24"/>
          <w:szCs w:val="24"/>
          <w:lang w:val="en-GB"/>
        </w:rPr>
        <w:t>Acknowledgements</w:t>
      </w:r>
    </w:p>
    <w:p w:rsidR="00377509" w:rsidRPr="00545DAC" w:rsidRDefault="00C30486">
      <w:pPr>
        <w:rPr>
          <w:lang w:val="en-GB"/>
        </w:rPr>
      </w:pPr>
      <w:r>
        <w:rPr>
          <w:lang w:val="en-GB"/>
        </w:rPr>
        <w:t>T</w:t>
      </w:r>
      <w:r w:rsidR="00461F0D" w:rsidRPr="00545DAC">
        <w:rPr>
          <w:lang w:val="en-GB"/>
        </w:rPr>
        <w:t xml:space="preserve">his paper draws on research funding from two main sources: Australian Research Council Linkage Grant LP0562422 </w:t>
      </w:r>
      <w:r>
        <w:rPr>
          <w:lang w:val="en-GB"/>
        </w:rPr>
        <w:t>(</w:t>
      </w:r>
      <w:r w:rsidR="00461F0D" w:rsidRPr="00545DAC">
        <w:rPr>
          <w:lang w:val="en-GB"/>
        </w:rPr>
        <w:t>including industry partners</w:t>
      </w:r>
      <w:r>
        <w:rPr>
          <w:lang w:val="en-GB"/>
        </w:rPr>
        <w:t>:</w:t>
      </w:r>
      <w:r w:rsidR="00461F0D" w:rsidRPr="00545DAC">
        <w:rPr>
          <w:lang w:val="en-GB"/>
        </w:rPr>
        <w:t xml:space="preserve"> Peet and Co, Department for Planning and Infrastructure WA, Public Transport Authority, Landcorp, Revelopment Authorities of East Perth, Subiaco, &amp; Midland, Cities of Cockburn, Melville, Rockingham and Town of Kwinana</w:t>
      </w:r>
      <w:r>
        <w:rPr>
          <w:lang w:val="en-GB"/>
        </w:rPr>
        <w:t>)</w:t>
      </w:r>
      <w:r w:rsidR="00461F0D" w:rsidRPr="00545DAC">
        <w:rPr>
          <w:lang w:val="en-GB"/>
        </w:rPr>
        <w:t>; Volvo Research and Education Foundation grant funding for the Australasian Centre for the Governance and Management of Urban Transport</w:t>
      </w:r>
      <w:r>
        <w:rPr>
          <w:lang w:val="en-GB"/>
        </w:rPr>
        <w:t>. T</w:t>
      </w:r>
      <w:r w:rsidR="00461F0D" w:rsidRPr="00545DAC">
        <w:rPr>
          <w:lang w:val="en-GB"/>
        </w:rPr>
        <w:t xml:space="preserve">he author acknowledges the support of research assistance from </w:t>
      </w:r>
      <w:r>
        <w:rPr>
          <w:lang w:val="en-GB"/>
        </w:rPr>
        <w:t xml:space="preserve">Roger Mellor </w:t>
      </w:r>
      <w:r w:rsidR="00461F0D" w:rsidRPr="00545DAC">
        <w:rPr>
          <w:lang w:val="en-GB"/>
        </w:rPr>
        <w:t>and Jake Schapper.</w:t>
      </w:r>
    </w:p>
    <w:p w:rsidR="000E5A15" w:rsidRDefault="000E5A15">
      <w:pPr>
        <w:rPr>
          <w:b/>
          <w:sz w:val="24"/>
          <w:szCs w:val="24"/>
        </w:rPr>
      </w:pPr>
    </w:p>
    <w:p w:rsidR="00FF1256" w:rsidRDefault="00FF1256">
      <w:pPr>
        <w:rPr>
          <w:b/>
          <w:sz w:val="24"/>
          <w:szCs w:val="24"/>
        </w:rPr>
      </w:pPr>
      <w:r>
        <w:rPr>
          <w:b/>
          <w:sz w:val="24"/>
          <w:szCs w:val="24"/>
        </w:rPr>
        <w:t>References</w:t>
      </w:r>
    </w:p>
    <w:p w:rsidR="0077553B" w:rsidRPr="007523EC" w:rsidRDefault="0077553B" w:rsidP="0077553B">
      <w:pPr>
        <w:rPr>
          <w:bCs/>
        </w:rPr>
      </w:pPr>
      <w:r w:rsidRPr="007523EC">
        <w:rPr>
          <w:bCs/>
        </w:rPr>
        <w:t xml:space="preserve">Albrechts L. (2004) Strategic (spatial) planning re-examined, </w:t>
      </w:r>
      <w:r w:rsidRPr="007523EC">
        <w:rPr>
          <w:bCs/>
          <w:i/>
        </w:rPr>
        <w:t>Environment and Planning B: Planning and Design</w:t>
      </w:r>
      <w:r w:rsidRPr="007523EC">
        <w:rPr>
          <w:bCs/>
        </w:rPr>
        <w:t xml:space="preserve"> volume 31, pp. 743 - 758</w:t>
      </w:r>
    </w:p>
    <w:p w:rsidR="0077553B" w:rsidRPr="007523EC" w:rsidRDefault="0077553B" w:rsidP="0077553B">
      <w:pPr>
        <w:rPr>
          <w:bCs/>
          <w:lang w:val="en-US"/>
        </w:rPr>
      </w:pPr>
      <w:r w:rsidRPr="007523EC">
        <w:rPr>
          <w:bCs/>
          <w:lang w:val="en-US"/>
        </w:rPr>
        <w:t xml:space="preserve">Altes W K K, (2006) Stagnation in housing production: another success in the Dutch ‘planner’s paradise’? </w:t>
      </w:r>
      <w:r w:rsidRPr="007523EC">
        <w:rPr>
          <w:bCs/>
          <w:i/>
          <w:iCs/>
          <w:lang w:val="en-US"/>
        </w:rPr>
        <w:t>Environment and Planning B: Planning and Design</w:t>
      </w:r>
      <w:r w:rsidRPr="007523EC">
        <w:rPr>
          <w:bCs/>
          <w:lang w:val="en-US"/>
        </w:rPr>
        <w:t xml:space="preserve"> 33(1) 97 – 114</w:t>
      </w:r>
    </w:p>
    <w:p w:rsidR="00582E2C" w:rsidRPr="007523EC" w:rsidRDefault="00582E2C" w:rsidP="00582E2C">
      <w:pPr>
        <w:rPr>
          <w:bCs/>
          <w:lang w:val="en-GB"/>
        </w:rPr>
      </w:pPr>
      <w:r w:rsidRPr="007523EC">
        <w:rPr>
          <w:rFonts w:eastAsia="Calibri"/>
          <w:bCs/>
          <w:lang w:val="en-GB"/>
        </w:rPr>
        <w:t xml:space="preserve">Banister D </w:t>
      </w:r>
      <w:r w:rsidRPr="007523EC">
        <w:rPr>
          <w:bCs/>
          <w:lang w:val="en-GB"/>
        </w:rPr>
        <w:t>(</w:t>
      </w:r>
      <w:r w:rsidRPr="007523EC">
        <w:rPr>
          <w:rFonts w:eastAsia="Calibri"/>
          <w:bCs/>
          <w:lang w:val="en-GB"/>
        </w:rPr>
        <w:t>2005</w:t>
      </w:r>
      <w:r w:rsidRPr="007523EC">
        <w:rPr>
          <w:bCs/>
          <w:lang w:val="en-GB"/>
        </w:rPr>
        <w:t>)</w:t>
      </w:r>
      <w:r w:rsidRPr="007523EC">
        <w:rPr>
          <w:rFonts w:eastAsia="Calibri"/>
          <w:bCs/>
          <w:lang w:val="en-GB"/>
        </w:rPr>
        <w:t xml:space="preserve"> </w:t>
      </w:r>
      <w:r w:rsidRPr="007523EC">
        <w:rPr>
          <w:rFonts w:eastAsia="Calibri"/>
          <w:bCs/>
          <w:i/>
          <w:lang w:val="en-GB"/>
        </w:rPr>
        <w:t xml:space="preserve">Unsustainable Transport: City Transport in the new century </w:t>
      </w:r>
      <w:r w:rsidRPr="007523EC">
        <w:rPr>
          <w:rFonts w:eastAsia="Calibri"/>
          <w:bCs/>
          <w:lang w:val="en-GB"/>
        </w:rPr>
        <w:t>Routledge: London</w:t>
      </w:r>
    </w:p>
    <w:p w:rsidR="0077553B" w:rsidRPr="007523EC" w:rsidRDefault="0077553B" w:rsidP="0077553B">
      <w:pPr>
        <w:rPr>
          <w:rFonts w:eastAsia="Calibri"/>
          <w:bCs/>
          <w:lang w:val="en-GB"/>
        </w:rPr>
      </w:pPr>
      <w:r w:rsidRPr="007523EC">
        <w:rPr>
          <w:rFonts w:eastAsia="Calibri"/>
          <w:bCs/>
          <w:lang w:val="en-GB"/>
        </w:rPr>
        <w:t xml:space="preserve">Bajracharya B &amp; Khan S </w:t>
      </w:r>
      <w:r w:rsidRPr="007523EC">
        <w:rPr>
          <w:bCs/>
          <w:lang w:val="en-GB"/>
        </w:rPr>
        <w:t>(</w:t>
      </w:r>
      <w:r w:rsidRPr="007523EC">
        <w:rPr>
          <w:rFonts w:eastAsia="Calibri"/>
          <w:bCs/>
          <w:lang w:val="en-GB"/>
        </w:rPr>
        <w:t>2005</w:t>
      </w:r>
      <w:r w:rsidRPr="007523EC">
        <w:rPr>
          <w:bCs/>
          <w:lang w:val="en-GB"/>
        </w:rPr>
        <w:t>)</w:t>
      </w:r>
      <w:r w:rsidRPr="007523EC">
        <w:rPr>
          <w:rFonts w:eastAsia="Calibri"/>
          <w:bCs/>
          <w:lang w:val="en-GB"/>
        </w:rPr>
        <w:t xml:space="preserve"> Planning for Sustainable transit oriented development: the case of SE Queensland, </w:t>
      </w:r>
      <w:r w:rsidRPr="007523EC">
        <w:rPr>
          <w:rFonts w:eastAsia="Calibri"/>
          <w:bCs/>
          <w:i/>
          <w:lang w:val="en-GB"/>
        </w:rPr>
        <w:t>Q</w:t>
      </w:r>
      <w:r w:rsidRPr="007523EC">
        <w:rPr>
          <w:bCs/>
          <w:i/>
          <w:lang w:val="en-GB"/>
        </w:rPr>
        <w:t xml:space="preserve">ueensland </w:t>
      </w:r>
      <w:r w:rsidRPr="007523EC">
        <w:rPr>
          <w:rFonts w:eastAsia="Calibri"/>
          <w:bCs/>
          <w:i/>
          <w:lang w:val="en-GB"/>
        </w:rPr>
        <w:t>U</w:t>
      </w:r>
      <w:r w:rsidRPr="007523EC">
        <w:rPr>
          <w:bCs/>
          <w:i/>
          <w:lang w:val="en-GB"/>
        </w:rPr>
        <w:t xml:space="preserve">niversity of </w:t>
      </w:r>
      <w:r w:rsidRPr="007523EC">
        <w:rPr>
          <w:rFonts w:eastAsia="Calibri"/>
          <w:bCs/>
          <w:i/>
          <w:lang w:val="en-GB"/>
        </w:rPr>
        <w:t>T</w:t>
      </w:r>
      <w:r w:rsidRPr="007523EC">
        <w:rPr>
          <w:bCs/>
          <w:i/>
          <w:lang w:val="en-GB"/>
        </w:rPr>
        <w:t>echnology</w:t>
      </w:r>
      <w:r w:rsidRPr="007523EC">
        <w:rPr>
          <w:rFonts w:eastAsia="Calibri"/>
          <w:bCs/>
          <w:i/>
          <w:lang w:val="en-GB"/>
        </w:rPr>
        <w:t xml:space="preserve"> Research Week International Conference</w:t>
      </w:r>
      <w:r w:rsidRPr="007523EC">
        <w:rPr>
          <w:rFonts w:eastAsia="Calibri"/>
          <w:bCs/>
          <w:lang w:val="en-GB"/>
        </w:rPr>
        <w:t>, July 4-8.</w:t>
      </w:r>
    </w:p>
    <w:p w:rsidR="00582E2C" w:rsidRPr="007523EC" w:rsidRDefault="00582E2C" w:rsidP="00582E2C">
      <w:pPr>
        <w:rPr>
          <w:bCs/>
          <w:lang w:val="en-US"/>
        </w:rPr>
      </w:pPr>
      <w:r w:rsidRPr="007523EC">
        <w:rPr>
          <w:bCs/>
          <w:lang w:val="en-US"/>
        </w:rPr>
        <w:t>Barrett S and Fudge C (1981) Policy and Action: essays on the implementation of public policy, Methuen:London.</w:t>
      </w:r>
    </w:p>
    <w:p w:rsidR="0077553B" w:rsidRPr="007523EC" w:rsidRDefault="0077553B" w:rsidP="0077553B">
      <w:pPr>
        <w:rPr>
          <w:rFonts w:eastAsia="Calibri"/>
          <w:lang w:val="en-GB"/>
        </w:rPr>
      </w:pPr>
      <w:r w:rsidRPr="007523EC">
        <w:rPr>
          <w:rFonts w:eastAsia="Calibri"/>
          <w:lang w:val="en-GB"/>
        </w:rPr>
        <w:lastRenderedPageBreak/>
        <w:t xml:space="preserve">Belzar D, Autler G, Espinosa J, Feigon S, &amp; Ohland G., </w:t>
      </w:r>
      <w:r w:rsidRPr="007523EC">
        <w:rPr>
          <w:lang w:val="en-GB"/>
        </w:rPr>
        <w:t>(</w:t>
      </w:r>
      <w:r w:rsidRPr="007523EC">
        <w:rPr>
          <w:rFonts w:eastAsia="Calibri"/>
          <w:lang w:val="en-GB"/>
        </w:rPr>
        <w:t>2004</w:t>
      </w:r>
      <w:r w:rsidRPr="007523EC">
        <w:rPr>
          <w:lang w:val="en-GB"/>
        </w:rPr>
        <w:t>)</w:t>
      </w:r>
      <w:r w:rsidRPr="007523EC">
        <w:rPr>
          <w:rFonts w:eastAsia="Calibri"/>
          <w:lang w:val="en-GB"/>
        </w:rPr>
        <w:t xml:space="preserve"> The transit oriented development drama and its actors, in Dittmar H &amp; Ohland G </w:t>
      </w:r>
      <w:r w:rsidRPr="007523EC">
        <w:rPr>
          <w:rFonts w:eastAsia="Calibri"/>
          <w:i/>
          <w:lang w:val="en-GB"/>
        </w:rPr>
        <w:t>The New Transit Town</w:t>
      </w:r>
      <w:r w:rsidRPr="007523EC">
        <w:rPr>
          <w:rFonts w:eastAsia="Calibri"/>
          <w:lang w:val="en-GB"/>
        </w:rPr>
        <w:t xml:space="preserve">, Island Press: Washington DC. </w:t>
      </w:r>
    </w:p>
    <w:p w:rsidR="00E762BE" w:rsidRPr="007523EC" w:rsidRDefault="00E762BE" w:rsidP="00E762BE">
      <w:r w:rsidRPr="007523EC">
        <w:rPr>
          <w:bCs/>
        </w:rPr>
        <w:t xml:space="preserve">Bernick, M. Cervero, R. (1997) </w:t>
      </w:r>
      <w:r w:rsidRPr="007523EC">
        <w:rPr>
          <w:i/>
          <w:iCs/>
        </w:rPr>
        <w:t>Transit Villages in the 21st Century</w:t>
      </w:r>
      <w:r w:rsidRPr="007523EC">
        <w:t xml:space="preserve"> (New York: McGraw-Hill)</w:t>
      </w:r>
    </w:p>
    <w:p w:rsidR="0077553B" w:rsidRPr="007523EC" w:rsidRDefault="0077553B" w:rsidP="0077553B">
      <w:pPr>
        <w:rPr>
          <w:bCs/>
        </w:rPr>
      </w:pPr>
      <w:r w:rsidRPr="007523EC">
        <w:rPr>
          <w:rFonts w:eastAsia="Calibri"/>
          <w:bCs/>
          <w:lang w:val="en-GB"/>
        </w:rPr>
        <w:t xml:space="preserve">Boarnet MG &amp; Compin NS </w:t>
      </w:r>
      <w:r w:rsidRPr="007523EC">
        <w:rPr>
          <w:bCs/>
          <w:lang w:val="en-GB"/>
        </w:rPr>
        <w:t>(</w:t>
      </w:r>
      <w:r w:rsidRPr="007523EC">
        <w:rPr>
          <w:rFonts w:eastAsia="Calibri"/>
          <w:bCs/>
          <w:lang w:val="en-GB"/>
        </w:rPr>
        <w:t>1999</w:t>
      </w:r>
      <w:r w:rsidRPr="007523EC">
        <w:rPr>
          <w:bCs/>
          <w:lang w:val="en-GB"/>
        </w:rPr>
        <w:t>)</w:t>
      </w:r>
      <w:r w:rsidRPr="007523EC">
        <w:rPr>
          <w:rFonts w:eastAsia="Calibri"/>
          <w:bCs/>
          <w:lang w:val="en-GB"/>
        </w:rPr>
        <w:t xml:space="preserve"> TOD in San Diego County, </w:t>
      </w:r>
      <w:r w:rsidRPr="007523EC">
        <w:rPr>
          <w:rFonts w:eastAsia="Calibri"/>
          <w:bCs/>
          <w:i/>
          <w:lang w:val="en-GB"/>
        </w:rPr>
        <w:t>Journal of the APA</w:t>
      </w:r>
      <w:r w:rsidRPr="007523EC">
        <w:rPr>
          <w:rFonts w:eastAsia="Calibri"/>
          <w:bCs/>
          <w:lang w:val="en-GB"/>
        </w:rPr>
        <w:t>, Winter: 80-95</w:t>
      </w:r>
    </w:p>
    <w:p w:rsidR="0077553B" w:rsidRPr="007523EC" w:rsidRDefault="0077553B" w:rsidP="0077553B">
      <w:pPr>
        <w:rPr>
          <w:bCs/>
        </w:rPr>
      </w:pPr>
      <w:r w:rsidRPr="007523EC">
        <w:rPr>
          <w:bCs/>
        </w:rPr>
        <w:t xml:space="preserve">Bramley G, Kirk K (2005) Does planning make a difference to urban form? Recent evidence from Central Scotland, </w:t>
      </w:r>
      <w:r w:rsidRPr="007523EC">
        <w:rPr>
          <w:bCs/>
          <w:i/>
        </w:rPr>
        <w:t>Environment and Planning A</w:t>
      </w:r>
      <w:r w:rsidRPr="007523EC">
        <w:rPr>
          <w:bCs/>
        </w:rPr>
        <w:t xml:space="preserve"> volume 37, pages 355-378</w:t>
      </w:r>
    </w:p>
    <w:p w:rsidR="00582E2C" w:rsidRPr="007523EC" w:rsidRDefault="00582E2C" w:rsidP="00582E2C">
      <w:pPr>
        <w:rPr>
          <w:lang w:val="en-US"/>
        </w:rPr>
      </w:pPr>
      <w:r w:rsidRPr="007523EC">
        <w:rPr>
          <w:lang w:val="en-US"/>
        </w:rPr>
        <w:t xml:space="preserve">Breheny M, Gurney A, Strike J (1996) The Compact City and the Need to Travel: The implementation of UK Planning Policy Guidance in Jenks M, Burton E &amp; Williams K 1996, </w:t>
      </w:r>
      <w:r w:rsidRPr="007523EC">
        <w:rPr>
          <w:i/>
          <w:iCs/>
          <w:lang w:val="en-US"/>
        </w:rPr>
        <w:t>The Compact City: A Sustainable Urban Form?</w:t>
      </w:r>
      <w:r w:rsidRPr="007523EC">
        <w:rPr>
          <w:lang w:val="en-US"/>
        </w:rPr>
        <w:t>, E &amp; FN Spon, London.</w:t>
      </w:r>
    </w:p>
    <w:p w:rsidR="0071011D" w:rsidRPr="007523EC" w:rsidRDefault="0071011D" w:rsidP="0071011D">
      <w:pPr>
        <w:rPr>
          <w:rFonts w:eastAsia="Calibri"/>
        </w:rPr>
      </w:pPr>
      <w:r w:rsidRPr="007523EC">
        <w:rPr>
          <w:rFonts w:eastAsia="Calibri"/>
        </w:rPr>
        <w:t xml:space="preserve">Bressi T.W. (1994) 'Planning the American Dream', in </w:t>
      </w:r>
      <w:r w:rsidRPr="007523EC">
        <w:rPr>
          <w:rFonts w:eastAsia="Calibri"/>
          <w:i/>
          <w:iCs/>
        </w:rPr>
        <w:t>The New Urbanism: Toward an Architecture of Community</w:t>
      </w:r>
      <w:r w:rsidRPr="007523EC">
        <w:rPr>
          <w:rFonts w:eastAsia="Calibri"/>
        </w:rPr>
        <w:t>, ed. Katz P, McGraw Hill, New York.</w:t>
      </w:r>
    </w:p>
    <w:p w:rsidR="00604739" w:rsidRPr="007523EC" w:rsidRDefault="00604739" w:rsidP="00E762BE">
      <w:pPr>
        <w:rPr>
          <w:rFonts w:eastAsia="Calibri"/>
          <w:lang w:val="en-GB"/>
        </w:rPr>
      </w:pPr>
      <w:r w:rsidRPr="007523EC">
        <w:rPr>
          <w:rFonts w:eastAsia="Calibri"/>
          <w:lang w:val="en-GB"/>
        </w:rPr>
        <w:t>[BTHA and CALTRANS] Business, Transportation and Housing Agency and California Department of Transportation, 2002, Statewide Transit-Oriented Development Study: Fa</w:t>
      </w:r>
      <w:r w:rsidR="007639F9" w:rsidRPr="007523EC">
        <w:rPr>
          <w:rFonts w:eastAsia="Calibri"/>
          <w:lang w:val="en-GB"/>
        </w:rPr>
        <w:t>ctors for Success in California</w:t>
      </w:r>
    </w:p>
    <w:p w:rsidR="0077553B" w:rsidRPr="007523EC" w:rsidRDefault="0077553B" w:rsidP="00E762BE">
      <w:r w:rsidRPr="007523EC">
        <w:rPr>
          <w:rFonts w:eastAsia="Calibri"/>
          <w:lang w:val="en-GB"/>
        </w:rPr>
        <w:t xml:space="preserve">Cervero R </w:t>
      </w:r>
      <w:r w:rsidRPr="007523EC">
        <w:rPr>
          <w:lang w:val="en-GB"/>
        </w:rPr>
        <w:t>(</w:t>
      </w:r>
      <w:r w:rsidRPr="007523EC">
        <w:rPr>
          <w:rFonts w:eastAsia="Calibri"/>
          <w:lang w:val="en-GB"/>
        </w:rPr>
        <w:t>2005</w:t>
      </w:r>
      <w:r w:rsidRPr="007523EC">
        <w:rPr>
          <w:lang w:val="en-GB"/>
        </w:rPr>
        <w:t>)</w:t>
      </w:r>
      <w:r w:rsidRPr="007523EC">
        <w:rPr>
          <w:rFonts w:eastAsia="Calibri"/>
          <w:lang w:val="en-GB"/>
        </w:rPr>
        <w:t xml:space="preserve"> TOD in America: strategies, issues, policy directions, </w:t>
      </w:r>
      <w:r w:rsidRPr="007523EC">
        <w:rPr>
          <w:rFonts w:eastAsia="Calibri"/>
          <w:i/>
          <w:lang w:val="en-GB"/>
        </w:rPr>
        <w:t>T</w:t>
      </w:r>
      <w:r w:rsidRPr="007523EC">
        <w:rPr>
          <w:i/>
          <w:lang w:val="en-GB"/>
        </w:rPr>
        <w:t xml:space="preserve">ransit </w:t>
      </w:r>
      <w:r w:rsidRPr="007523EC">
        <w:rPr>
          <w:rFonts w:eastAsia="Calibri"/>
          <w:i/>
          <w:lang w:val="en-GB"/>
        </w:rPr>
        <w:t>O</w:t>
      </w:r>
      <w:r w:rsidRPr="007523EC">
        <w:rPr>
          <w:i/>
          <w:lang w:val="en-GB"/>
        </w:rPr>
        <w:t xml:space="preserve">riented </w:t>
      </w:r>
      <w:r w:rsidRPr="007523EC">
        <w:rPr>
          <w:rFonts w:eastAsia="Calibri"/>
          <w:i/>
          <w:lang w:val="en-GB"/>
        </w:rPr>
        <w:t>D</w:t>
      </w:r>
      <w:r w:rsidRPr="007523EC">
        <w:rPr>
          <w:i/>
          <w:lang w:val="en-GB"/>
        </w:rPr>
        <w:t>evelopment: Making it Happen C</w:t>
      </w:r>
      <w:r w:rsidRPr="007523EC">
        <w:rPr>
          <w:rFonts w:eastAsia="Calibri"/>
          <w:i/>
          <w:lang w:val="en-GB"/>
        </w:rPr>
        <w:t>onference</w:t>
      </w:r>
      <w:r w:rsidRPr="007523EC">
        <w:rPr>
          <w:rFonts w:eastAsia="Calibri"/>
          <w:lang w:val="en-GB"/>
        </w:rPr>
        <w:t>, Fremantle, WA 5-8 July</w:t>
      </w:r>
    </w:p>
    <w:p w:rsidR="00E762BE" w:rsidRPr="007523EC" w:rsidRDefault="00E762BE" w:rsidP="00E762BE">
      <w:r w:rsidRPr="007523EC">
        <w:t xml:space="preserve">Cervero, R. (1998) </w:t>
      </w:r>
      <w:r w:rsidRPr="007523EC">
        <w:rPr>
          <w:i/>
        </w:rPr>
        <w:t>The Transit Metropolis: A Global Inquiry</w:t>
      </w:r>
      <w:r w:rsidRPr="007523EC">
        <w:t xml:space="preserve"> (Washington DC: Island Press)</w:t>
      </w:r>
    </w:p>
    <w:p w:rsidR="008D277A" w:rsidRPr="007523EC" w:rsidRDefault="008D277A" w:rsidP="008D277A">
      <w:pPr>
        <w:rPr>
          <w:bCs/>
        </w:rPr>
      </w:pPr>
      <w:r w:rsidRPr="007523EC">
        <w:rPr>
          <w:bCs/>
        </w:rPr>
        <w:t xml:space="preserve">Curtis C and Mellor R (2011) Anticipating a new railway: the relevance of transit oriented development to businesses in a car orientated city </w:t>
      </w:r>
      <w:r w:rsidRPr="007523EC">
        <w:rPr>
          <w:bCs/>
          <w:i/>
        </w:rPr>
        <w:t xml:space="preserve">Urban Policy and Research </w:t>
      </w:r>
      <w:r w:rsidRPr="007523EC">
        <w:rPr>
          <w:bCs/>
        </w:rPr>
        <w:t>Vol 29 No. 1, pp1-26.</w:t>
      </w:r>
    </w:p>
    <w:p w:rsidR="00E762BE" w:rsidRPr="007523EC" w:rsidRDefault="009F6E26" w:rsidP="00E762BE">
      <w:r w:rsidRPr="007523EC">
        <w:rPr>
          <w:bCs/>
          <w:lang w:val="en-GB"/>
        </w:rPr>
        <w:t xml:space="preserve">Curtis C, Renne J L, Bertolini L (eds) (2009) </w:t>
      </w:r>
      <w:r w:rsidRPr="007523EC">
        <w:rPr>
          <w:bCs/>
          <w:i/>
          <w:lang w:val="en-GB"/>
        </w:rPr>
        <w:t>Transit Oriented Development: Making it Happen</w:t>
      </w:r>
      <w:r w:rsidRPr="007523EC">
        <w:rPr>
          <w:bCs/>
          <w:lang w:val="en-GB"/>
        </w:rPr>
        <w:t xml:space="preserve"> Ashgate, Aldershot</w:t>
      </w:r>
    </w:p>
    <w:p w:rsidR="008D348A" w:rsidRPr="007523EC" w:rsidRDefault="008D348A">
      <w:r w:rsidRPr="007523EC">
        <w:t xml:space="preserve">Curtis, C. (2008) Evolution of the Transit-oriented Development Model for Low-density Cities: A Case Study of Perth’s New Railway Corridor, </w:t>
      </w:r>
      <w:r w:rsidRPr="007523EC">
        <w:rPr>
          <w:i/>
        </w:rPr>
        <w:t>Planning, Practice and Research</w:t>
      </w:r>
      <w:r w:rsidRPr="007523EC">
        <w:t xml:space="preserve"> Vol 23, No. 3 pp. 285 -302.</w:t>
      </w:r>
    </w:p>
    <w:p w:rsidR="00545DAC" w:rsidRPr="007523EC" w:rsidRDefault="00545DAC" w:rsidP="00556AA8">
      <w:r w:rsidRPr="007523EC">
        <w:t xml:space="preserve">Department of Planning &amp; Urban Development (1991) </w:t>
      </w:r>
      <w:r w:rsidRPr="007523EC">
        <w:rPr>
          <w:i/>
        </w:rPr>
        <w:t>Metropolitan Centres: policy statement for the Perth Metropolitan Region</w:t>
      </w:r>
      <w:r w:rsidRPr="007523EC">
        <w:t>, Department of Planning &amp; Urban Development:Western Australia</w:t>
      </w:r>
    </w:p>
    <w:p w:rsidR="00556AA8" w:rsidRPr="007523EC" w:rsidRDefault="00556AA8" w:rsidP="00556AA8">
      <w:r w:rsidRPr="007523EC">
        <w:t xml:space="preserve">DOTARS [Department of Transport and the Regional Services] (2003) </w:t>
      </w:r>
      <w:r w:rsidRPr="007523EC">
        <w:rPr>
          <w:i/>
          <w:iCs/>
        </w:rPr>
        <w:t>National Charter of Integrated Land Use and Transport Planning</w:t>
      </w:r>
      <w:r w:rsidRPr="007523EC">
        <w:t>, Department of Transport and Regional Services, Canberra.</w:t>
      </w:r>
    </w:p>
    <w:p w:rsidR="00E762BE" w:rsidRPr="007523EC" w:rsidRDefault="00E762BE" w:rsidP="00E762BE">
      <w:r w:rsidRPr="007523EC">
        <w:t>Dittmar, H. and Ohland, G. (2004)</w:t>
      </w:r>
      <w:r w:rsidR="00582E2C" w:rsidRPr="007523EC">
        <w:t xml:space="preserve"> </w:t>
      </w:r>
      <w:r w:rsidRPr="007523EC">
        <w:rPr>
          <w:i/>
          <w:iCs/>
        </w:rPr>
        <w:t>The New Transit Town. Best Practices in Transit-Oriented Development</w:t>
      </w:r>
      <w:r w:rsidRPr="007523EC">
        <w:t xml:space="preserve"> (Washington DC: Island Press)</w:t>
      </w:r>
    </w:p>
    <w:p w:rsidR="00E762BE" w:rsidRPr="007523EC" w:rsidRDefault="00E762BE" w:rsidP="00E762BE">
      <w:r w:rsidRPr="007523EC">
        <w:t xml:space="preserve">Dunphy, R., R. Cervero, F. Dock, M. McAvey, and D. Porter (2005) </w:t>
      </w:r>
      <w:r w:rsidRPr="007523EC">
        <w:rPr>
          <w:i/>
          <w:iCs/>
        </w:rPr>
        <w:t>Developing Around Transit: Strategies and Solutions That Work.</w:t>
      </w:r>
      <w:r w:rsidRPr="007523EC">
        <w:rPr>
          <w:i/>
        </w:rPr>
        <w:t xml:space="preserve"> (</w:t>
      </w:r>
      <w:r w:rsidRPr="007523EC">
        <w:rPr>
          <w:iCs/>
        </w:rPr>
        <w:t>Washington DC: Urban Land Institute)</w:t>
      </w:r>
      <w:r w:rsidRPr="007523EC">
        <w:t>.</w:t>
      </w:r>
    </w:p>
    <w:p w:rsidR="00582E2C" w:rsidRPr="007523EC" w:rsidRDefault="00582E2C" w:rsidP="00582E2C">
      <w:pPr>
        <w:rPr>
          <w:lang w:val="en-GB"/>
        </w:rPr>
      </w:pPr>
      <w:r w:rsidRPr="007523EC">
        <w:t xml:space="preserve">EMCT/OECD [European Conference of Transport Ministers &amp; Organisation for Economic Co-operation and Development] (2003) </w:t>
      </w:r>
      <w:r w:rsidRPr="007523EC">
        <w:rPr>
          <w:i/>
          <w:iCs/>
        </w:rPr>
        <w:t>Implementing Sustainable Urban Travel Policies: National Reviews</w:t>
      </w:r>
      <w:r w:rsidRPr="007523EC">
        <w:t>, OECD Publications Service, Paris.</w:t>
      </w:r>
    </w:p>
    <w:p w:rsidR="0077553B" w:rsidRPr="007523EC" w:rsidRDefault="0077553B" w:rsidP="0077553B">
      <w:pPr>
        <w:rPr>
          <w:bCs/>
        </w:rPr>
      </w:pPr>
      <w:r w:rsidRPr="007523EC">
        <w:rPr>
          <w:bCs/>
        </w:rPr>
        <w:t xml:space="preserve">Ennis F. (1997) Infrastructure Provision, the Negotiating Process and the Planner's Role </w:t>
      </w:r>
      <w:r w:rsidRPr="007523EC">
        <w:rPr>
          <w:bCs/>
          <w:i/>
          <w:iCs/>
        </w:rPr>
        <w:t>Urban Studies</w:t>
      </w:r>
      <w:r w:rsidRPr="007523EC">
        <w:rPr>
          <w:bCs/>
        </w:rPr>
        <w:t xml:space="preserve"> 34: pp. 1935</w:t>
      </w:r>
    </w:p>
    <w:p w:rsidR="003B0E6C" w:rsidRPr="007523EC" w:rsidRDefault="003B0E6C">
      <w:r w:rsidRPr="007523EC">
        <w:t xml:space="preserve">Evans, I. V., J.E., Pratt, R. H., Stryker, A. &amp; Kuzmyak, J. R. (2007) </w:t>
      </w:r>
      <w:r w:rsidRPr="007523EC">
        <w:rPr>
          <w:i/>
        </w:rPr>
        <w:t xml:space="preserve">Transit Oriented Development – Traveler Response to Transportation System Changes, </w:t>
      </w:r>
      <w:r w:rsidRPr="007523EC">
        <w:t>Transit Cooperative Research Program (TRCP) report 95, chapter 17 (Washington, DC: Transportation Research Board of the National Academies).</w:t>
      </w:r>
    </w:p>
    <w:p w:rsidR="0077553B" w:rsidRPr="007523EC" w:rsidRDefault="0077553B" w:rsidP="00556AA8">
      <w:pPr>
        <w:rPr>
          <w:lang w:val="en-US"/>
        </w:rPr>
      </w:pPr>
      <w:r w:rsidRPr="007523EC">
        <w:rPr>
          <w:bCs/>
        </w:rPr>
        <w:t xml:space="preserve">Faludi A.(2004) The Impact of a Planning Philosophy </w:t>
      </w:r>
      <w:r w:rsidRPr="007523EC">
        <w:rPr>
          <w:bCs/>
          <w:i/>
          <w:iCs/>
        </w:rPr>
        <w:t xml:space="preserve">Planning Theory </w:t>
      </w:r>
      <w:r w:rsidRPr="007523EC">
        <w:rPr>
          <w:bCs/>
        </w:rPr>
        <w:t>3 p. 225-</w:t>
      </w:r>
    </w:p>
    <w:p w:rsidR="00556AA8" w:rsidRPr="007523EC" w:rsidRDefault="00556AA8" w:rsidP="00556AA8">
      <w:pPr>
        <w:rPr>
          <w:rFonts w:eastAsia="Calibri"/>
          <w:lang w:val="en-US"/>
        </w:rPr>
      </w:pPr>
      <w:r w:rsidRPr="007523EC">
        <w:rPr>
          <w:rFonts w:eastAsia="Calibri"/>
          <w:lang w:val="en-US"/>
        </w:rPr>
        <w:t xml:space="preserve">Gleeson B, Darbas T, Lawson S </w:t>
      </w:r>
      <w:r w:rsidR="00582E2C" w:rsidRPr="007523EC">
        <w:rPr>
          <w:lang w:val="en-US"/>
        </w:rPr>
        <w:t>(</w:t>
      </w:r>
      <w:r w:rsidRPr="007523EC">
        <w:rPr>
          <w:rFonts w:eastAsia="Calibri"/>
          <w:lang w:val="en-US"/>
        </w:rPr>
        <w:t>2004</w:t>
      </w:r>
      <w:r w:rsidR="00582E2C" w:rsidRPr="007523EC">
        <w:rPr>
          <w:lang w:val="en-US"/>
        </w:rPr>
        <w:t>)</w:t>
      </w:r>
      <w:r w:rsidRPr="007523EC">
        <w:rPr>
          <w:rFonts w:eastAsia="Calibri"/>
          <w:lang w:val="en-US"/>
        </w:rPr>
        <w:t xml:space="preserve"> Governance, Sustainability and Recent Australian Metropolitan Strategies: A Socio-theoretic Analysis.</w:t>
      </w:r>
      <w:r w:rsidRPr="007523EC">
        <w:rPr>
          <w:rFonts w:eastAsia="Calibri"/>
          <w:i/>
          <w:lang w:val="en-US"/>
        </w:rPr>
        <w:t xml:space="preserve"> Urban Policy and Research </w:t>
      </w:r>
      <w:r w:rsidRPr="007523EC">
        <w:rPr>
          <w:rFonts w:eastAsia="Calibri"/>
          <w:lang w:val="en-US"/>
        </w:rPr>
        <w:t>22 (4): 345-366.</w:t>
      </w:r>
    </w:p>
    <w:p w:rsidR="002F0B81" w:rsidRPr="007523EC" w:rsidRDefault="002F0B81" w:rsidP="002F0B81">
      <w:r w:rsidRPr="007523EC">
        <w:lastRenderedPageBreak/>
        <w:t xml:space="preserve">Gleeson, B., Curtis, C., &amp; Low, N. (2003). Barriers to Sustainable Transportation in Australia. In N. L. a. B. Gleeson (Ed.), </w:t>
      </w:r>
      <w:r w:rsidRPr="007523EC">
        <w:rPr>
          <w:i/>
        </w:rPr>
        <w:t>Making Urban Transport Sustainable</w:t>
      </w:r>
      <w:r w:rsidRPr="007523EC">
        <w:t xml:space="preserve"> (pp. 201-219). New York: Palgrave Macmillan.</w:t>
      </w:r>
    </w:p>
    <w:p w:rsidR="00156D57" w:rsidRPr="007523EC" w:rsidRDefault="00156D57" w:rsidP="00156D57">
      <w:r w:rsidRPr="007523EC">
        <w:t xml:space="preserve">Government of Western Australia (1999) </w:t>
      </w:r>
      <w:r w:rsidRPr="007523EC">
        <w:rPr>
          <w:i/>
        </w:rPr>
        <w:t>Town Planning Amendment Regulations</w:t>
      </w:r>
      <w:r w:rsidRPr="007523EC">
        <w:t>,</w:t>
      </w:r>
      <w:r w:rsidRPr="007523EC">
        <w:rPr>
          <w:i/>
        </w:rPr>
        <w:t xml:space="preserve"> </w:t>
      </w:r>
      <w:r w:rsidRPr="007523EC">
        <w:t>Perth, State Government of Western Australia.</w:t>
      </w:r>
    </w:p>
    <w:p w:rsidR="00156D57" w:rsidRPr="007523EC" w:rsidRDefault="00156D57" w:rsidP="00156D57">
      <w:r w:rsidRPr="007523EC">
        <w:t xml:space="preserve">Government of Western Australia (2003) </w:t>
      </w:r>
      <w:r w:rsidRPr="007523EC">
        <w:rPr>
          <w:i/>
        </w:rPr>
        <w:t xml:space="preserve">Hope for the future: the Western Australia state sustainability strategy, </w:t>
      </w:r>
      <w:r w:rsidRPr="007523EC">
        <w:t>Perth, State Government of Western Australia.</w:t>
      </w:r>
    </w:p>
    <w:p w:rsidR="006601C0" w:rsidRPr="007523EC" w:rsidRDefault="006601C0" w:rsidP="002F2704">
      <w:r w:rsidRPr="007523EC">
        <w:rPr>
          <w:rFonts w:ascii="TimesNewRomanPSMT+1" w:hAnsi="TimesNewRomanPSMT+1" w:cs="TimesNewRomanPSMT+1"/>
        </w:rPr>
        <w:t>Headicar P (2004) The contribution of Land Use Planning to reducing traffic growth: the English experience</w:t>
      </w:r>
      <w:r w:rsidR="00A60C04" w:rsidRPr="007523EC">
        <w:rPr>
          <w:rFonts w:ascii="TimesNewRomanPSMT+1" w:hAnsi="TimesNewRomanPSMT+1" w:cs="TimesNewRomanPSMT+1"/>
        </w:rPr>
        <w:t xml:space="preserve">, </w:t>
      </w:r>
      <w:r w:rsidR="00A60C04" w:rsidRPr="007523EC">
        <w:rPr>
          <w:rFonts w:ascii="TimesNewRomanPSMT+1" w:hAnsi="TimesNewRomanPSMT+1" w:cs="TimesNewRomanPSMT+1"/>
          <w:i/>
        </w:rPr>
        <w:t>European Journal of Transport and Infrastructure Research</w:t>
      </w:r>
      <w:r w:rsidR="00A60C04" w:rsidRPr="007523EC">
        <w:rPr>
          <w:rFonts w:ascii="TimesNewRomanPSMT+1" w:hAnsi="TimesNewRomanPSMT+1" w:cs="TimesNewRomanPSMT+1"/>
        </w:rPr>
        <w:t xml:space="preserve"> </w:t>
      </w:r>
      <w:r w:rsidR="00A60C04" w:rsidRPr="007523EC">
        <w:rPr>
          <w:rFonts w:ascii="TimesNewRomanPSMT+1" w:hAnsi="TimesNewRomanPSMT+1" w:cs="TimesNewRomanPSMT+1"/>
          <w:b/>
          <w:bCs/>
        </w:rPr>
        <w:t>3</w:t>
      </w:r>
      <w:r w:rsidR="00A60C04" w:rsidRPr="007523EC">
        <w:rPr>
          <w:rFonts w:ascii="TimesNewRomanPSMT+1" w:hAnsi="TimesNewRomanPSMT+1" w:cs="TimesNewRomanPSMT+1"/>
        </w:rPr>
        <w:t>, no. 2, (2003), pp. 137-154</w:t>
      </w:r>
      <w:r w:rsidRPr="007523EC">
        <w:rPr>
          <w:rFonts w:ascii="TimesNewRomanPSMT+1" w:hAnsi="TimesNewRomanPSMT+1" w:cs="TimesNewRomanPSMT+1"/>
        </w:rPr>
        <w:t xml:space="preserve">  citing Oxford Brookes University and WS Atkins (1996) </w:t>
      </w:r>
      <w:r w:rsidRPr="007523EC">
        <w:rPr>
          <w:rFonts w:ascii="TimesNewRomanPS-ItalicMT+1" w:hAnsi="TimesNewRomanPS-ItalicMT+1" w:cs="TimesNewRomanPS-ItalicMT+1"/>
          <w:i/>
          <w:iCs/>
        </w:rPr>
        <w:t xml:space="preserve">The Land Use Effects of Planning Policy Guidance and Increasing Congestion </w:t>
      </w:r>
      <w:r w:rsidRPr="007523EC">
        <w:rPr>
          <w:rFonts w:ascii="TimesNewRomanPSMT+1" w:hAnsi="TimesNewRomanPSMT+1" w:cs="TimesNewRomanPSMT+1"/>
        </w:rPr>
        <w:t>Report to the Department of Transport, UK.</w:t>
      </w:r>
    </w:p>
    <w:p w:rsidR="002F2704" w:rsidRPr="007523EC" w:rsidRDefault="002F2704" w:rsidP="002F2704">
      <w:r w:rsidRPr="007523EC">
        <w:t xml:space="preserve">Howe A, Glass G and Curtis C (2009) Retrofitting TOD and managing the impacts: the case of Subi Centro in </w:t>
      </w:r>
      <w:r w:rsidRPr="007523EC">
        <w:rPr>
          <w:bCs/>
          <w:i/>
          <w:lang w:val="en-GB"/>
        </w:rPr>
        <w:t xml:space="preserve">Transit Oriented Development: Making it Happen, </w:t>
      </w:r>
      <w:r w:rsidRPr="007523EC">
        <w:rPr>
          <w:bCs/>
          <w:lang w:val="en-GB"/>
        </w:rPr>
        <w:t>Curtis C, Renne J L, Bertolini L (eds), Ashgate, Aldershot.</w:t>
      </w:r>
    </w:p>
    <w:p w:rsidR="0077553B" w:rsidRPr="007523EC" w:rsidRDefault="0077553B" w:rsidP="0077553B">
      <w:r w:rsidRPr="007523EC">
        <w:t xml:space="preserve">Hull A, Tricker R, Forrester J and Snell C., (2007) </w:t>
      </w:r>
      <w:r w:rsidRPr="007523EC">
        <w:rPr>
          <w:i/>
        </w:rPr>
        <w:t>Understanding the Processes of Policy Delivery for Sustainable Urban Transport</w:t>
      </w:r>
      <w:r w:rsidRPr="007523EC">
        <w:t xml:space="preserve">, DISTILLATE: Formal Deliverable D1, accessed 19 August 2009 and available at </w:t>
      </w:r>
      <w:hyperlink r:id="rId16" w:history="1">
        <w:r w:rsidRPr="007523EC">
          <w:rPr>
            <w:rStyle w:val="Hyperlink"/>
            <w:bCs/>
          </w:rPr>
          <w:t>http://www.distillate.ac.uk/outputs/Processes%20Report_D1_final%20draft.pdf</w:t>
        </w:r>
      </w:hyperlink>
    </w:p>
    <w:p w:rsidR="0071011D" w:rsidRPr="007523EC" w:rsidRDefault="0071011D" w:rsidP="0071011D">
      <w:r w:rsidRPr="007523EC">
        <w:t xml:space="preserve">Ministry for Transportation and Ministry for Municipal Affairs (1995) </w:t>
      </w:r>
      <w:r w:rsidRPr="007523EC">
        <w:rPr>
          <w:i/>
          <w:iCs/>
        </w:rPr>
        <w:t>Transit-Supportive Land Use Planning Guidelines</w:t>
      </w:r>
      <w:r w:rsidRPr="007523EC">
        <w:t>, Ministry for Transportation and Ministry for Municipal Affairs, Ontario.</w:t>
      </w:r>
    </w:p>
    <w:p w:rsidR="002F2704" w:rsidRPr="007523EC" w:rsidRDefault="002F2704" w:rsidP="002F2704">
      <w:r w:rsidRPr="007523EC">
        <w:t xml:space="preserve">Mouritz M and Ainsworth L (2009) Successful Delivery Mechanisms:  Coordinating Plans, Players and Action in </w:t>
      </w:r>
      <w:r w:rsidRPr="007523EC">
        <w:rPr>
          <w:bCs/>
          <w:i/>
          <w:lang w:val="en-GB"/>
        </w:rPr>
        <w:t xml:space="preserve">Transit Oriented Development: Making it Happen, </w:t>
      </w:r>
      <w:r w:rsidRPr="007523EC">
        <w:rPr>
          <w:bCs/>
          <w:lang w:val="en-GB"/>
        </w:rPr>
        <w:t>Curtis C, Renne J L, Bertolini L (eds), Ashgate, Aldershot.</w:t>
      </w:r>
    </w:p>
    <w:p w:rsidR="00D945E7" w:rsidRPr="007523EC" w:rsidRDefault="00D945E7" w:rsidP="00D945E7">
      <w:r w:rsidRPr="007523EC">
        <w:rPr>
          <w:bCs/>
          <w:lang w:val="en-GB"/>
        </w:rPr>
        <w:t xml:space="preserve">Newman, PWG, 2009, Planning for Transit Oriented Development: Strategic Principles, in Curtis C, Renne J L, Bertolini L (eds) (2009) </w:t>
      </w:r>
      <w:r w:rsidRPr="007523EC">
        <w:rPr>
          <w:bCs/>
          <w:i/>
          <w:lang w:val="en-GB"/>
        </w:rPr>
        <w:t>Transit Oriented Development: Making it Happen</w:t>
      </w:r>
      <w:r w:rsidRPr="007523EC">
        <w:rPr>
          <w:bCs/>
          <w:lang w:val="en-GB"/>
        </w:rPr>
        <w:t xml:space="preserve"> Ashgate, Aldershot</w:t>
      </w:r>
    </w:p>
    <w:p w:rsidR="0071011D" w:rsidRPr="007523EC" w:rsidRDefault="0071011D" w:rsidP="0071011D">
      <w:r w:rsidRPr="007523EC">
        <w:t xml:space="preserve">Newman, PWG. and Kenworthy, J. 2006, ‘Urban design to reduce automobile dependence’, </w:t>
      </w:r>
      <w:r w:rsidRPr="007523EC">
        <w:rPr>
          <w:i/>
        </w:rPr>
        <w:t xml:space="preserve">Opolis </w:t>
      </w:r>
      <w:r w:rsidRPr="007523EC">
        <w:t>2:1, 35-52.</w:t>
      </w:r>
    </w:p>
    <w:p w:rsidR="00582E2C" w:rsidRPr="007523EC" w:rsidRDefault="00582E2C" w:rsidP="00582E2C">
      <w:pPr>
        <w:rPr>
          <w:lang w:val="en-GB"/>
        </w:rPr>
      </w:pPr>
      <w:r w:rsidRPr="007523EC">
        <w:t xml:space="preserve">North D. (1990) </w:t>
      </w:r>
      <w:r w:rsidRPr="007523EC">
        <w:rPr>
          <w:i/>
        </w:rPr>
        <w:t>Institutions, Institutional Change, and Economic Performance</w:t>
      </w:r>
      <w:r w:rsidRPr="007523EC">
        <w:t>.  Cambridge University Press, New York.</w:t>
      </w:r>
    </w:p>
    <w:p w:rsidR="00556AA8" w:rsidRPr="007523EC" w:rsidRDefault="00556AA8" w:rsidP="00556AA8">
      <w:pPr>
        <w:rPr>
          <w:lang w:val="en-GB"/>
        </w:rPr>
      </w:pPr>
      <w:r w:rsidRPr="007523EC">
        <w:rPr>
          <w:rFonts w:eastAsia="Calibri"/>
          <w:lang w:val="en-US"/>
        </w:rPr>
        <w:t xml:space="preserve">[ODPM] </w:t>
      </w:r>
      <w:r w:rsidRPr="007523EC">
        <w:rPr>
          <w:rFonts w:eastAsia="Calibri"/>
          <w:lang w:val="en-GB"/>
        </w:rPr>
        <w:t>Office of</w:t>
      </w:r>
      <w:r w:rsidR="00582E2C" w:rsidRPr="007523EC">
        <w:rPr>
          <w:lang w:val="en-GB"/>
        </w:rPr>
        <w:t xml:space="preserve"> the Deputy Prime Minister (</w:t>
      </w:r>
      <w:r w:rsidRPr="007523EC">
        <w:rPr>
          <w:rFonts w:eastAsia="Calibri"/>
          <w:lang w:val="en-GB"/>
        </w:rPr>
        <w:t>2005</w:t>
      </w:r>
      <w:r w:rsidR="00582E2C" w:rsidRPr="007523EC">
        <w:rPr>
          <w:lang w:val="en-GB"/>
        </w:rPr>
        <w:t>)</w:t>
      </w:r>
      <w:r w:rsidRPr="007523EC">
        <w:rPr>
          <w:rFonts w:eastAsia="Calibri"/>
          <w:lang w:val="en-GB"/>
        </w:rPr>
        <w:t xml:space="preserve"> Planning Policy Statement 1, London: TSO.</w:t>
      </w:r>
    </w:p>
    <w:p w:rsidR="00582E2C" w:rsidRPr="007523EC" w:rsidRDefault="00582E2C" w:rsidP="00582E2C">
      <w:pPr>
        <w:rPr>
          <w:rFonts w:eastAsia="Calibri"/>
          <w:lang w:val="en-US"/>
        </w:rPr>
      </w:pPr>
      <w:r w:rsidRPr="007523EC">
        <w:rPr>
          <w:rFonts w:eastAsia="Calibri"/>
          <w:lang w:val="en-US"/>
        </w:rPr>
        <w:t xml:space="preserve">Reitveld P &amp; Stough R (eds.) </w:t>
      </w:r>
      <w:r w:rsidRPr="007523EC">
        <w:rPr>
          <w:lang w:val="en-US"/>
        </w:rPr>
        <w:t>(</w:t>
      </w:r>
      <w:r w:rsidRPr="007523EC">
        <w:rPr>
          <w:rFonts w:eastAsia="Calibri"/>
          <w:lang w:val="en-US"/>
        </w:rPr>
        <w:t>2005</w:t>
      </w:r>
      <w:r w:rsidRPr="007523EC">
        <w:rPr>
          <w:lang w:val="en-US"/>
        </w:rPr>
        <w:t>)</w:t>
      </w:r>
      <w:r w:rsidRPr="007523EC">
        <w:rPr>
          <w:rFonts w:eastAsia="Calibri"/>
          <w:lang w:val="en-US"/>
        </w:rPr>
        <w:t xml:space="preserve"> </w:t>
      </w:r>
      <w:r w:rsidRPr="007523EC">
        <w:rPr>
          <w:rFonts w:eastAsia="Calibri"/>
          <w:i/>
          <w:iCs/>
          <w:lang w:val="en-US"/>
        </w:rPr>
        <w:t>Barriers to Sustainable Transport: institutions, regulations and sustainability</w:t>
      </w:r>
      <w:r w:rsidRPr="007523EC">
        <w:rPr>
          <w:rFonts w:eastAsia="Calibri"/>
          <w:lang w:val="en-US"/>
        </w:rPr>
        <w:t>, Spon Press, Abingdon.</w:t>
      </w:r>
    </w:p>
    <w:p w:rsidR="0077553B" w:rsidRPr="007523EC" w:rsidRDefault="0077553B" w:rsidP="0077553B">
      <w:pPr>
        <w:rPr>
          <w:rFonts w:eastAsia="Calibri"/>
        </w:rPr>
      </w:pPr>
      <w:r w:rsidRPr="007523EC">
        <w:rPr>
          <w:rFonts w:eastAsia="Calibri"/>
        </w:rPr>
        <w:t xml:space="preserve">Renne J </w:t>
      </w:r>
      <w:r w:rsidRPr="007523EC">
        <w:t>(</w:t>
      </w:r>
      <w:r w:rsidRPr="007523EC">
        <w:rPr>
          <w:rFonts w:eastAsia="Calibri"/>
        </w:rPr>
        <w:t>2005</w:t>
      </w:r>
      <w:r w:rsidRPr="007523EC">
        <w:t>)</w:t>
      </w:r>
      <w:r w:rsidRPr="007523EC">
        <w:rPr>
          <w:rFonts w:eastAsia="Calibri"/>
        </w:rPr>
        <w:t xml:space="preserve"> Transit-Oriented Development in Western Australia: Attitudes, Obstacles and Opportunities.  Research Report for the Planning and Transport Research Centre of Western Australia.</w:t>
      </w:r>
    </w:p>
    <w:p w:rsidR="00582E2C" w:rsidRPr="007523EC" w:rsidRDefault="00582E2C" w:rsidP="00556AA8">
      <w:pPr>
        <w:rPr>
          <w:lang w:val="en-GB"/>
        </w:rPr>
      </w:pPr>
      <w:r w:rsidRPr="007523EC">
        <w:t xml:space="preserve">Ubbels B and Verhoef E (2005) Barriers to transport pricing, in </w:t>
      </w:r>
      <w:r w:rsidRPr="007523EC">
        <w:rPr>
          <w:i/>
          <w:iCs/>
        </w:rPr>
        <w:t>Barriers to Sustainable Transport: institutions, regulations and sustainability</w:t>
      </w:r>
      <w:r w:rsidRPr="007523EC">
        <w:t>, eds. Rietveld P. &amp; Stough R. Spon Press, Abingdon, UK</w:t>
      </w:r>
    </w:p>
    <w:p w:rsidR="00A323D1" w:rsidRPr="007523EC" w:rsidRDefault="00BE232A" w:rsidP="00556AA8">
      <w:pPr>
        <w:rPr>
          <w:rFonts w:eastAsia="Calibri"/>
          <w:lang w:val="en-GB"/>
        </w:rPr>
      </w:pPr>
      <w:r w:rsidRPr="007523EC">
        <w:rPr>
          <w:rFonts w:eastAsia="Calibri"/>
          <w:lang w:val="en-GB"/>
        </w:rPr>
        <w:t xml:space="preserve">[WAPC] </w:t>
      </w:r>
      <w:r w:rsidR="00A323D1" w:rsidRPr="007523EC">
        <w:rPr>
          <w:rFonts w:eastAsia="Calibri"/>
          <w:lang w:val="en-GB"/>
        </w:rPr>
        <w:t xml:space="preserve">Western Australian Government (2010) </w:t>
      </w:r>
      <w:r w:rsidR="00A323D1" w:rsidRPr="007523EC">
        <w:rPr>
          <w:rFonts w:eastAsia="Calibri"/>
          <w:i/>
          <w:lang w:val="en-GB"/>
        </w:rPr>
        <w:t>State Planning Policy 4.2 Activity Centres for Perth and Peel</w:t>
      </w:r>
      <w:r w:rsidR="00A323D1" w:rsidRPr="007523EC">
        <w:rPr>
          <w:rFonts w:eastAsia="Calibri"/>
          <w:lang w:val="en-GB"/>
        </w:rPr>
        <w:t>, State of Western Australia: Perth.</w:t>
      </w:r>
    </w:p>
    <w:p w:rsidR="00156D57" w:rsidRPr="007523EC" w:rsidRDefault="007523EC" w:rsidP="00156D57">
      <w:r w:rsidRPr="007523EC">
        <w:t>[</w:t>
      </w:r>
      <w:r w:rsidR="00156D57" w:rsidRPr="007523EC">
        <w:t>WAPC</w:t>
      </w:r>
      <w:r w:rsidRPr="007523EC">
        <w:t>]</w:t>
      </w:r>
      <w:r w:rsidR="00156D57" w:rsidRPr="007523EC">
        <w:t xml:space="preserve"> Western Austral</w:t>
      </w:r>
      <w:r w:rsidR="00DD5155" w:rsidRPr="007523EC">
        <w:t>ian Planning Commission, (2006</w:t>
      </w:r>
      <w:r w:rsidR="00156D57" w:rsidRPr="007523EC">
        <w:t xml:space="preserve">) </w:t>
      </w:r>
      <w:r w:rsidR="00156D57" w:rsidRPr="007523EC">
        <w:rPr>
          <w:i/>
        </w:rPr>
        <w:t>Statement of Planning Policy No. 3: Urban Growth and Settlement</w:t>
      </w:r>
      <w:r w:rsidR="00156D57" w:rsidRPr="007523EC">
        <w:t xml:space="preserve">, WAPC:Perth </w:t>
      </w:r>
    </w:p>
    <w:p w:rsidR="00DD5155" w:rsidRPr="007523EC" w:rsidRDefault="007523EC" w:rsidP="00DD5155">
      <w:r w:rsidRPr="007523EC">
        <w:t>[</w:t>
      </w:r>
      <w:r w:rsidR="00DD5155" w:rsidRPr="007523EC">
        <w:t>WAPC</w:t>
      </w:r>
      <w:r w:rsidRPr="007523EC">
        <w:t>]</w:t>
      </w:r>
      <w:r w:rsidR="00DD5155" w:rsidRPr="007523EC">
        <w:t xml:space="preserve"> Western Australian Planning Commission (2005) </w:t>
      </w:r>
      <w:r w:rsidR="00DD5155" w:rsidRPr="007523EC">
        <w:rPr>
          <w:i/>
        </w:rPr>
        <w:t>Development Control Policy 1.6 Planning to support transit use and transit oriented development</w:t>
      </w:r>
      <w:r w:rsidR="00DD5155" w:rsidRPr="007523EC">
        <w:t>, WAPC: Perth, Western Australia.</w:t>
      </w:r>
    </w:p>
    <w:p w:rsidR="00156D57" w:rsidRPr="007523EC" w:rsidRDefault="00156D57" w:rsidP="00156D57">
      <w:r w:rsidRPr="007523EC">
        <w:t xml:space="preserve">WAPC [Western Australian Planning Commission (2004) </w:t>
      </w:r>
      <w:r w:rsidRPr="007523EC">
        <w:rPr>
          <w:i/>
        </w:rPr>
        <w:t>Network City: Community Planning Strategy for Perth and Peel</w:t>
      </w:r>
      <w:r w:rsidRPr="007523EC">
        <w:t>. WAPC, Perth, Western Australia.</w:t>
      </w:r>
    </w:p>
    <w:p w:rsidR="006601C0" w:rsidRPr="007523EC" w:rsidRDefault="006601C0" w:rsidP="00156D57">
      <w:r w:rsidRPr="007523EC">
        <w:rPr>
          <w:rFonts w:ascii="TimesNewRomanPSMT+1" w:hAnsi="TimesNewRomanPSMT+1" w:cs="TimesNewRomanPSMT+1"/>
        </w:rPr>
        <w:t>[WAPC] Western Australian Planning Commission, 2001, Claremont Enquiry by Design Workshop, Government of Western Australia</w:t>
      </w:r>
    </w:p>
    <w:p w:rsidR="00156D57" w:rsidRPr="007523EC" w:rsidRDefault="00156D57" w:rsidP="00156D57">
      <w:r w:rsidRPr="007523EC">
        <w:lastRenderedPageBreak/>
        <w:t xml:space="preserve">WAPC [Western Australian Planning Commission] (1999) </w:t>
      </w:r>
      <w:r w:rsidRPr="007523EC">
        <w:rPr>
          <w:i/>
        </w:rPr>
        <w:t>Development Control Policy 1.6, Planning to Enhance Public Transport Use</w:t>
      </w:r>
      <w:r w:rsidRPr="007523EC">
        <w:t>, WAPC: Perth, Western Australia.</w:t>
      </w:r>
    </w:p>
    <w:p w:rsidR="006E7EED" w:rsidRDefault="00BE232A" w:rsidP="00610809">
      <w:pPr>
        <w:rPr>
          <w:i/>
        </w:rPr>
      </w:pPr>
      <w:r w:rsidRPr="007523EC">
        <w:t>[</w:t>
      </w:r>
      <w:r w:rsidR="00556AA8" w:rsidRPr="007523EC">
        <w:t>WAPC</w:t>
      </w:r>
      <w:r w:rsidRPr="007523EC">
        <w:t xml:space="preserve">] </w:t>
      </w:r>
      <w:r w:rsidR="00556AA8" w:rsidRPr="007523EC">
        <w:t>Western Australian Planning Commission</w:t>
      </w:r>
      <w:r w:rsidR="00556AA8" w:rsidRPr="00545DAC">
        <w:t xml:space="preserve"> (1988) </w:t>
      </w:r>
      <w:r w:rsidR="00556AA8" w:rsidRPr="00545DAC">
        <w:rPr>
          <w:i/>
        </w:rPr>
        <w:t xml:space="preserve">Development Control Policy 1.6 Residential </w:t>
      </w:r>
    </w:p>
    <w:p w:rsidR="00D17AD4" w:rsidRDefault="00D17AD4">
      <w:pPr>
        <w:rPr>
          <w:i/>
        </w:rPr>
      </w:pPr>
      <w:r>
        <w:rPr>
          <w:i/>
        </w:rPr>
        <w:br w:type="page"/>
      </w:r>
    </w:p>
    <w:p w:rsidR="00D17AD4" w:rsidRPr="0083310E" w:rsidRDefault="00D17AD4" w:rsidP="00D17AD4">
      <w:pPr>
        <w:jc w:val="both"/>
        <w:rPr>
          <w:b/>
        </w:rPr>
      </w:pPr>
      <w:r w:rsidRPr="0083310E">
        <w:rPr>
          <w:b/>
        </w:rPr>
        <w:lastRenderedPageBreak/>
        <w:t>Table 2:</w:t>
      </w:r>
      <w:r w:rsidRPr="00D17AD4">
        <w:t xml:space="preserve"> Comparison of Local Planning Scheme Zoned Residential Yield against State Planning Policy for TOD.</w:t>
      </w:r>
    </w:p>
    <w:tbl>
      <w:tblPr>
        <w:tblStyle w:val="TableGrid"/>
        <w:tblpPr w:leftFromText="180" w:rightFromText="180" w:vertAnchor="page" w:horzAnchor="margin" w:tblpY="1435"/>
        <w:tblW w:w="10098" w:type="dxa"/>
        <w:tblLayout w:type="fixed"/>
        <w:tblLook w:val="04A0" w:firstRow="1" w:lastRow="0" w:firstColumn="1" w:lastColumn="0" w:noHBand="0" w:noVBand="1"/>
      </w:tblPr>
      <w:tblGrid>
        <w:gridCol w:w="1668"/>
        <w:gridCol w:w="1275"/>
        <w:gridCol w:w="1134"/>
        <w:gridCol w:w="1134"/>
        <w:gridCol w:w="1134"/>
        <w:gridCol w:w="993"/>
        <w:gridCol w:w="850"/>
        <w:gridCol w:w="1910"/>
      </w:tblGrid>
      <w:tr w:rsidR="00D17AD4" w:rsidRPr="0083310E" w:rsidTr="00FA5255">
        <w:trPr>
          <w:trHeight w:val="841"/>
        </w:trPr>
        <w:tc>
          <w:tcPr>
            <w:tcW w:w="1668" w:type="dxa"/>
            <w:shd w:val="clear" w:color="auto" w:fill="F2F2F2" w:themeFill="background1" w:themeFillShade="F2"/>
            <w:vAlign w:val="bottom"/>
          </w:tcPr>
          <w:p w:rsidR="00D17AD4" w:rsidRPr="0083310E" w:rsidRDefault="00D17AD4" w:rsidP="00FA5255">
            <w:pPr>
              <w:rPr>
                <w:b/>
                <w:i/>
                <w:noProof/>
                <w:sz w:val="16"/>
                <w:szCs w:val="16"/>
                <w:lang w:val="en-US" w:eastAsia="zh-TW"/>
              </w:rPr>
            </w:pPr>
            <w:r w:rsidRPr="0083310E">
              <w:rPr>
                <w:b/>
                <w:i/>
                <w:noProof/>
                <w:sz w:val="16"/>
                <w:szCs w:val="16"/>
                <w:lang w:val="en-US" w:eastAsia="zh-TW"/>
              </w:rPr>
              <w:t>State TOD Policy</w:t>
            </w:r>
          </w:p>
        </w:tc>
        <w:tc>
          <w:tcPr>
            <w:tcW w:w="1275" w:type="dxa"/>
            <w:shd w:val="clear" w:color="auto" w:fill="F2F2F2" w:themeFill="background1" w:themeFillShade="F2"/>
            <w:vAlign w:val="bottom"/>
          </w:tcPr>
          <w:p w:rsidR="00D17AD4" w:rsidRPr="0083310E" w:rsidRDefault="00D17AD4" w:rsidP="00FA5255">
            <w:pPr>
              <w:rPr>
                <w:b/>
                <w:sz w:val="16"/>
                <w:szCs w:val="16"/>
                <w:vertAlign w:val="superscript"/>
              </w:rPr>
            </w:pPr>
            <w:r w:rsidRPr="0083310E">
              <w:rPr>
                <w:b/>
                <w:sz w:val="16"/>
                <w:szCs w:val="16"/>
              </w:rPr>
              <w:t>Local Planning Scheme</w:t>
            </w:r>
            <w:r w:rsidRPr="0083310E">
              <w:rPr>
                <w:b/>
                <w:sz w:val="16"/>
                <w:szCs w:val="16"/>
                <w:vertAlign w:val="superscript"/>
              </w:rPr>
              <w:t>@</w:t>
            </w:r>
          </w:p>
        </w:tc>
        <w:tc>
          <w:tcPr>
            <w:tcW w:w="1134" w:type="dxa"/>
            <w:shd w:val="clear" w:color="auto" w:fill="F2F2F2" w:themeFill="background1" w:themeFillShade="F2"/>
            <w:vAlign w:val="bottom"/>
          </w:tcPr>
          <w:p w:rsidR="00D17AD4" w:rsidRPr="00D17AD4" w:rsidRDefault="00D17AD4" w:rsidP="00D17AD4">
            <w:pPr>
              <w:rPr>
                <w:b/>
                <w:sz w:val="16"/>
                <w:szCs w:val="16"/>
                <w:vertAlign w:val="superscript"/>
              </w:rPr>
            </w:pPr>
            <w:r w:rsidRPr="0083310E">
              <w:rPr>
                <w:b/>
                <w:sz w:val="16"/>
                <w:szCs w:val="16"/>
              </w:rPr>
              <w:t>Station Precinct</w:t>
            </w:r>
            <w:r>
              <w:rPr>
                <w:b/>
                <w:sz w:val="16"/>
                <w:szCs w:val="16"/>
              </w:rPr>
              <w:t xml:space="preserve"> </w:t>
            </w:r>
            <w:r w:rsidRPr="00D17AD4">
              <w:rPr>
                <w:sz w:val="16"/>
                <w:szCs w:val="16"/>
              </w:rPr>
              <w:t>(status in regional centres policy hierarchy)</w:t>
            </w:r>
            <w:r>
              <w:rPr>
                <w:sz w:val="16"/>
                <w:szCs w:val="16"/>
                <w:vertAlign w:val="superscript"/>
              </w:rPr>
              <w:t>$</w:t>
            </w:r>
          </w:p>
        </w:tc>
        <w:tc>
          <w:tcPr>
            <w:tcW w:w="1134" w:type="dxa"/>
            <w:shd w:val="clear" w:color="auto" w:fill="F2F2F2" w:themeFill="background1" w:themeFillShade="F2"/>
            <w:vAlign w:val="bottom"/>
          </w:tcPr>
          <w:p w:rsidR="00D17AD4" w:rsidRPr="0083310E" w:rsidRDefault="00D17AD4" w:rsidP="00FA5255">
            <w:pPr>
              <w:rPr>
                <w:b/>
                <w:sz w:val="16"/>
                <w:szCs w:val="16"/>
                <w:vertAlign w:val="superscript"/>
              </w:rPr>
            </w:pPr>
            <w:r w:rsidRPr="0083310E">
              <w:rPr>
                <w:b/>
                <w:sz w:val="16"/>
                <w:szCs w:val="16"/>
              </w:rPr>
              <w:t>Zoned Residential Density (net)</w:t>
            </w:r>
            <w:r w:rsidRPr="0083310E">
              <w:rPr>
                <w:b/>
                <w:sz w:val="16"/>
                <w:szCs w:val="16"/>
                <w:vertAlign w:val="superscript"/>
              </w:rPr>
              <w:t>1</w:t>
            </w:r>
          </w:p>
        </w:tc>
        <w:tc>
          <w:tcPr>
            <w:tcW w:w="1134" w:type="dxa"/>
            <w:shd w:val="clear" w:color="auto" w:fill="F2F2F2" w:themeFill="background1" w:themeFillShade="F2"/>
            <w:vAlign w:val="bottom"/>
          </w:tcPr>
          <w:p w:rsidR="00D17AD4" w:rsidRPr="0083310E" w:rsidRDefault="00D17AD4" w:rsidP="00FA5255">
            <w:pPr>
              <w:rPr>
                <w:b/>
                <w:sz w:val="16"/>
                <w:szCs w:val="16"/>
              </w:rPr>
            </w:pPr>
            <w:r w:rsidRPr="0083310E">
              <w:rPr>
                <w:b/>
                <w:sz w:val="16"/>
                <w:szCs w:val="16"/>
              </w:rPr>
              <w:t>Zoned Residential Density (gross)</w:t>
            </w:r>
            <w:r w:rsidRPr="0083310E">
              <w:rPr>
                <w:b/>
                <w:sz w:val="16"/>
                <w:szCs w:val="16"/>
                <w:vertAlign w:val="superscript"/>
              </w:rPr>
              <w:t>2</w:t>
            </w:r>
          </w:p>
        </w:tc>
        <w:tc>
          <w:tcPr>
            <w:tcW w:w="993" w:type="dxa"/>
            <w:shd w:val="clear" w:color="auto" w:fill="F2F2F2" w:themeFill="background1" w:themeFillShade="F2"/>
            <w:vAlign w:val="bottom"/>
          </w:tcPr>
          <w:p w:rsidR="00D17AD4" w:rsidRPr="0083310E" w:rsidRDefault="00D17AD4" w:rsidP="00FA5255">
            <w:pPr>
              <w:rPr>
                <w:b/>
                <w:sz w:val="16"/>
                <w:szCs w:val="16"/>
                <w:vertAlign w:val="superscript"/>
              </w:rPr>
            </w:pPr>
            <w:r w:rsidRPr="0083310E">
              <w:rPr>
                <w:b/>
                <w:sz w:val="16"/>
                <w:szCs w:val="16"/>
              </w:rPr>
              <w:t>Net density conforms</w:t>
            </w:r>
            <w:r>
              <w:rPr>
                <w:b/>
                <w:sz w:val="16"/>
                <w:szCs w:val="16"/>
              </w:rPr>
              <w:t xml:space="preserve"> to State Policy</w:t>
            </w:r>
            <w:r w:rsidRPr="0083310E">
              <w:rPr>
                <w:b/>
                <w:sz w:val="16"/>
                <w:szCs w:val="16"/>
                <w:vertAlign w:val="superscript"/>
              </w:rPr>
              <w:t>3</w:t>
            </w:r>
          </w:p>
        </w:tc>
        <w:tc>
          <w:tcPr>
            <w:tcW w:w="850" w:type="dxa"/>
            <w:shd w:val="clear" w:color="auto" w:fill="F2F2F2" w:themeFill="background1" w:themeFillShade="F2"/>
            <w:vAlign w:val="bottom"/>
          </w:tcPr>
          <w:p w:rsidR="00D17AD4" w:rsidRPr="0083310E" w:rsidRDefault="00D17AD4" w:rsidP="00FA5255">
            <w:pPr>
              <w:rPr>
                <w:b/>
                <w:sz w:val="16"/>
                <w:szCs w:val="16"/>
              </w:rPr>
            </w:pPr>
            <w:r w:rsidRPr="0083310E">
              <w:rPr>
                <w:b/>
                <w:sz w:val="16"/>
                <w:szCs w:val="16"/>
              </w:rPr>
              <w:t>Railway line opened</w:t>
            </w:r>
          </w:p>
        </w:tc>
        <w:tc>
          <w:tcPr>
            <w:tcW w:w="1910" w:type="dxa"/>
            <w:shd w:val="clear" w:color="auto" w:fill="F2F2F2" w:themeFill="background1" w:themeFillShade="F2"/>
            <w:vAlign w:val="bottom"/>
          </w:tcPr>
          <w:p w:rsidR="00D17AD4" w:rsidRPr="0083310E" w:rsidRDefault="00D17AD4" w:rsidP="00FA5255">
            <w:pPr>
              <w:rPr>
                <w:b/>
                <w:sz w:val="16"/>
                <w:szCs w:val="16"/>
              </w:rPr>
            </w:pPr>
          </w:p>
        </w:tc>
      </w:tr>
      <w:tr w:rsidR="00D17AD4" w:rsidRPr="00A84FD8" w:rsidTr="00FA5255">
        <w:tc>
          <w:tcPr>
            <w:tcW w:w="1668" w:type="dxa"/>
            <w:vMerge w:val="restart"/>
            <w:shd w:val="clear" w:color="auto" w:fill="F2F2F2" w:themeFill="background1" w:themeFillShade="F2"/>
          </w:tcPr>
          <w:p w:rsidR="00D17AD4" w:rsidRPr="004B0CF5" w:rsidRDefault="00D17AD4" w:rsidP="00FA5255">
            <w:pPr>
              <w:rPr>
                <w:b/>
                <w:i/>
                <w:sz w:val="16"/>
                <w:szCs w:val="16"/>
              </w:rPr>
            </w:pPr>
            <w:r w:rsidRPr="004B0CF5">
              <w:rPr>
                <w:b/>
                <w:i/>
                <w:sz w:val="16"/>
                <w:szCs w:val="16"/>
              </w:rPr>
              <w:t>1) No State policy on TOD in this period</w:t>
            </w:r>
          </w:p>
        </w:tc>
        <w:tc>
          <w:tcPr>
            <w:tcW w:w="1275" w:type="dxa"/>
            <w:shd w:val="clear" w:color="auto" w:fill="F2F2F2" w:themeFill="background1" w:themeFillShade="F2"/>
          </w:tcPr>
          <w:p w:rsidR="00D17AD4" w:rsidRPr="00A84FD8" w:rsidRDefault="00D17AD4" w:rsidP="00FA5255">
            <w:pPr>
              <w:rPr>
                <w:sz w:val="16"/>
                <w:szCs w:val="16"/>
              </w:rPr>
            </w:pPr>
            <w:r w:rsidRPr="00A84FD8">
              <w:rPr>
                <w:sz w:val="16"/>
                <w:szCs w:val="16"/>
              </w:rPr>
              <w:t>Bassendean (1983)</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Ashfield</w:t>
            </w:r>
            <w:r>
              <w:rPr>
                <w:sz w:val="16"/>
                <w:szCs w:val="16"/>
              </w:rPr>
              <w:t xml:space="preserve"> (4)</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21</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5</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Middle ring suburb – industrial area</w:t>
            </w:r>
          </w:p>
        </w:tc>
      </w:tr>
      <w:tr w:rsidR="00D17AD4" w:rsidRPr="00A84FD8" w:rsidTr="00FA5255">
        <w:tc>
          <w:tcPr>
            <w:tcW w:w="1668" w:type="dxa"/>
            <w:vMerge/>
            <w:shd w:val="clear" w:color="auto" w:fill="F2F2F2" w:themeFill="background1" w:themeFillShade="F2"/>
          </w:tcPr>
          <w:p w:rsidR="00D17AD4" w:rsidRPr="004B0CF5" w:rsidRDefault="00D17AD4" w:rsidP="00FA5255">
            <w:pPr>
              <w:rPr>
                <w:b/>
                <w:i/>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Bassendean</w:t>
            </w:r>
            <w:r>
              <w:rPr>
                <w:sz w:val="16"/>
                <w:szCs w:val="16"/>
              </w:rPr>
              <w:t xml:space="preserve"> (4)</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24</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13</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Success Hill</w:t>
            </w:r>
            <w:r>
              <w:rPr>
                <w:sz w:val="16"/>
                <w:szCs w:val="16"/>
              </w:rPr>
              <w:t xml:space="preserve"> </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19</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8</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r w:rsidRPr="00A84FD8">
              <w:rPr>
                <w:sz w:val="16"/>
                <w:szCs w:val="16"/>
              </w:rPr>
              <w:t>Swan (1985)</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East Guildford</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5</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1</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Guildford</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7</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1</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92D050"/>
          </w:tcPr>
          <w:p w:rsidR="00D17AD4" w:rsidRPr="00A84FD8" w:rsidRDefault="00D17AD4" w:rsidP="00FA5255">
            <w:pPr>
              <w:rPr>
                <w:sz w:val="16"/>
                <w:szCs w:val="16"/>
              </w:rPr>
            </w:pPr>
            <w:r w:rsidRPr="00A84FD8">
              <w:rPr>
                <w:sz w:val="16"/>
                <w:szCs w:val="16"/>
              </w:rPr>
              <w:t>Midland</w:t>
            </w:r>
            <w:r>
              <w:rPr>
                <w:sz w:val="16"/>
                <w:szCs w:val="16"/>
              </w:rPr>
              <w:t xml:space="preserve"> (2)</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70</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10</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 xml:space="preserve">Outer ring – regional centre, rail terminus. </w:t>
            </w:r>
            <w:r w:rsidRPr="00A84FD8">
              <w:rPr>
                <w:color w:val="FF0000"/>
                <w:sz w:val="16"/>
                <w:szCs w:val="16"/>
              </w:rPr>
              <w:t>Redevelopment Authority</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West Midland</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34</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8</w:t>
            </w:r>
          </w:p>
        </w:tc>
        <w:tc>
          <w:tcPr>
            <w:tcW w:w="993" w:type="dxa"/>
            <w:shd w:val="clear" w:color="auto" w:fill="FF0000"/>
          </w:tcPr>
          <w:p w:rsidR="00D17AD4" w:rsidRPr="00A84FD8" w:rsidRDefault="00D17AD4" w:rsidP="00FA5255">
            <w:pPr>
              <w:rPr>
                <w:sz w:val="16"/>
                <w:szCs w:val="16"/>
              </w:rPr>
            </w:pPr>
            <w:r>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r w:rsidRPr="00A84FD8">
              <w:rPr>
                <w:sz w:val="16"/>
                <w:szCs w:val="16"/>
              </w:rPr>
              <w:t>Stirling (1985)</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Glendalough</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51</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20</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1993</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Stirling</w:t>
            </w:r>
            <w:r>
              <w:rPr>
                <w:sz w:val="16"/>
                <w:szCs w:val="16"/>
              </w:rPr>
              <w:t xml:space="preserve"> (2)</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49</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20</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1993</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F2F2F2" w:themeFill="background1" w:themeFillShade="F2"/>
          </w:tcPr>
          <w:p w:rsidR="00D17AD4" w:rsidRPr="004B0CF5" w:rsidRDefault="00D17AD4" w:rsidP="00FA5255">
            <w:pPr>
              <w:rPr>
                <w:b/>
                <w:sz w:val="16"/>
                <w:szCs w:val="16"/>
              </w:rPr>
            </w:pPr>
          </w:p>
        </w:tc>
        <w:tc>
          <w:tcPr>
            <w:tcW w:w="1275" w:type="dxa"/>
            <w:shd w:val="clear" w:color="auto" w:fill="F2F2F2" w:themeFill="background1" w:themeFillShade="F2"/>
          </w:tcPr>
          <w:p w:rsidR="00D17AD4" w:rsidRPr="00A84FD8" w:rsidRDefault="00D17AD4" w:rsidP="00FA5255">
            <w:pPr>
              <w:rPr>
                <w:sz w:val="16"/>
                <w:szCs w:val="16"/>
              </w:rPr>
            </w:pPr>
            <w:r w:rsidRPr="00A84FD8">
              <w:rPr>
                <w:sz w:val="16"/>
                <w:szCs w:val="16"/>
              </w:rPr>
              <w:t>Nedlands (1985)</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Karrakatta</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28</w:t>
            </w:r>
          </w:p>
        </w:tc>
        <w:tc>
          <w:tcPr>
            <w:tcW w:w="1134" w:type="dxa"/>
            <w:shd w:val="clear" w:color="auto" w:fill="F2F2F2" w:themeFill="background1" w:themeFillShade="F2"/>
          </w:tcPr>
          <w:p w:rsidR="00D17AD4" w:rsidRPr="00A84FD8" w:rsidRDefault="00D17AD4" w:rsidP="00FA5255">
            <w:pPr>
              <w:rPr>
                <w:sz w:val="16"/>
                <w:szCs w:val="16"/>
              </w:rPr>
            </w:pPr>
            <w:r w:rsidRPr="00A84FD8">
              <w:rPr>
                <w:sz w:val="16"/>
                <w:szCs w:val="16"/>
              </w:rPr>
              <w:t>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F2F2F2" w:themeFill="background1" w:themeFillShade="F2"/>
          </w:tcPr>
          <w:p w:rsidR="00D17AD4" w:rsidRPr="00A84FD8" w:rsidRDefault="00D17AD4" w:rsidP="00FA5255">
            <w:pPr>
              <w:rPr>
                <w:sz w:val="16"/>
                <w:szCs w:val="16"/>
              </w:rPr>
            </w:pPr>
            <w:r w:rsidRPr="00A84FD8">
              <w:rPr>
                <w:sz w:val="16"/>
                <w:szCs w:val="16"/>
              </w:rPr>
              <w:t>1881</w:t>
            </w:r>
          </w:p>
        </w:tc>
        <w:tc>
          <w:tcPr>
            <w:tcW w:w="1910" w:type="dxa"/>
            <w:shd w:val="clear" w:color="auto" w:fill="F2F2F2" w:themeFill="background1" w:themeFillShade="F2"/>
          </w:tcPr>
          <w:p w:rsidR="00D17AD4" w:rsidRPr="00A84FD8" w:rsidRDefault="00D17AD4" w:rsidP="00FA5255">
            <w:pPr>
              <w:rPr>
                <w:sz w:val="16"/>
                <w:szCs w:val="16"/>
              </w:rPr>
            </w:pPr>
            <w:r w:rsidRPr="00A84FD8">
              <w:rPr>
                <w:sz w:val="16"/>
                <w:szCs w:val="16"/>
              </w:rPr>
              <w:t>inner suburb with large cemetery</w:t>
            </w:r>
          </w:p>
        </w:tc>
      </w:tr>
      <w:tr w:rsidR="00D17AD4" w:rsidRPr="00A84FD8" w:rsidTr="00FA5255">
        <w:tc>
          <w:tcPr>
            <w:tcW w:w="1668" w:type="dxa"/>
            <w:vMerge w:val="restart"/>
            <w:shd w:val="clear" w:color="auto" w:fill="D9D9D9" w:themeFill="background1" w:themeFillShade="D9"/>
          </w:tcPr>
          <w:p w:rsidR="00D17AD4" w:rsidRPr="004B0CF5" w:rsidRDefault="00D17AD4" w:rsidP="00FA5255">
            <w:pPr>
              <w:rPr>
                <w:b/>
                <w:i/>
                <w:sz w:val="16"/>
                <w:szCs w:val="16"/>
              </w:rPr>
            </w:pPr>
            <w:r w:rsidRPr="004B0CF5">
              <w:rPr>
                <w:b/>
                <w:sz w:val="16"/>
                <w:szCs w:val="16"/>
              </w:rPr>
              <w:t>2) State Development Control Policy 1.6 (1988)</w:t>
            </w:r>
          </w:p>
          <w:p w:rsidR="00D17AD4" w:rsidRPr="004B0CF5" w:rsidRDefault="00D17AD4" w:rsidP="00FA5255">
            <w:pPr>
              <w:rPr>
                <w:b/>
                <w:i/>
                <w:sz w:val="16"/>
                <w:szCs w:val="16"/>
              </w:rPr>
            </w:pPr>
          </w:p>
          <w:p w:rsidR="00D17AD4" w:rsidRPr="004B0CF5" w:rsidRDefault="00D17AD4" w:rsidP="00FA5255">
            <w:pPr>
              <w:rPr>
                <w:b/>
                <w:i/>
                <w:sz w:val="16"/>
                <w:szCs w:val="16"/>
              </w:rPr>
            </w:pPr>
            <w:r w:rsidRPr="004B0CF5">
              <w:rPr>
                <w:b/>
                <w:i/>
                <w:sz w:val="16"/>
                <w:szCs w:val="16"/>
              </w:rPr>
              <w:t>Minimum density R40 (equivalent 35 dwellings/ha)</w:t>
            </w:r>
          </w:p>
          <w:p w:rsidR="00D17AD4" w:rsidRPr="004B0CF5" w:rsidRDefault="00D17AD4" w:rsidP="00FA5255">
            <w:pPr>
              <w:rPr>
                <w:b/>
                <w:i/>
                <w:sz w:val="16"/>
                <w:szCs w:val="16"/>
              </w:rPr>
            </w:pPr>
            <w:r w:rsidRPr="004B0CF5">
              <w:rPr>
                <w:b/>
                <w:i/>
                <w:sz w:val="16"/>
                <w:szCs w:val="16"/>
              </w:rPr>
              <w:t>Mixed Use</w:t>
            </w: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Kwinana (1992)</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Kwinana</w:t>
            </w:r>
            <w:r>
              <w:rPr>
                <w:sz w:val="16"/>
                <w:szCs w:val="16"/>
              </w:rPr>
              <w:t xml:space="preserve"> (3)</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20</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 xml:space="preserve">2007 </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Wellard</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18</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2007</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Canning (1994)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Cannington</w:t>
            </w:r>
            <w:r>
              <w:rPr>
                <w:sz w:val="16"/>
                <w:szCs w:val="16"/>
              </w:rPr>
              <w:t xml:space="preserve"> (2)</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39</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15</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 Regional Centre</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Queens Park</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35</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18</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Thornlie</w:t>
            </w:r>
            <w:r>
              <w:rPr>
                <w:sz w:val="16"/>
                <w:szCs w:val="16"/>
              </w:rPr>
              <w:t xml:space="preserve"> (4)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19</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15</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2005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Welshpool</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40</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Victoria Park</w:t>
            </w:r>
          </w:p>
          <w:p w:rsidR="00D17AD4" w:rsidRPr="00A84FD8" w:rsidRDefault="00D17AD4" w:rsidP="00FA5255">
            <w:pPr>
              <w:rPr>
                <w:sz w:val="16"/>
                <w:szCs w:val="16"/>
              </w:rPr>
            </w:pPr>
            <w:r w:rsidRPr="00A84FD8">
              <w:rPr>
                <w:sz w:val="16"/>
                <w:szCs w:val="16"/>
              </w:rPr>
              <w:t>(1998)</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Belmont Park</w:t>
            </w:r>
            <w:r>
              <w:rPr>
                <w:sz w:val="16"/>
                <w:szCs w:val="16"/>
              </w:rPr>
              <w:t xml:space="preserve"> (3)</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0</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w:t>
            </w:r>
            <w:r>
              <w:rPr>
                <w:sz w:val="16"/>
                <w:szCs w:val="16"/>
              </w:rPr>
              <w:t>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Burswood</w:t>
            </w:r>
            <w:r>
              <w:rPr>
                <w:sz w:val="16"/>
                <w:szCs w:val="16"/>
              </w:rPr>
              <w:t xml:space="preserve"> (4)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24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5</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w:t>
            </w:r>
            <w:r>
              <w:rPr>
                <w:sz w:val="16"/>
                <w:szCs w:val="16"/>
              </w:rPr>
              <w:t>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Pr>
                <w:sz w:val="16"/>
                <w:szCs w:val="16"/>
              </w:rPr>
              <w:t>Victoria Park (3)</w:t>
            </w:r>
          </w:p>
        </w:tc>
        <w:tc>
          <w:tcPr>
            <w:tcW w:w="1134" w:type="dxa"/>
            <w:shd w:val="clear" w:color="auto" w:fill="D9D9D9" w:themeFill="background1" w:themeFillShade="D9"/>
          </w:tcPr>
          <w:p w:rsidR="00D17AD4" w:rsidRPr="00A84FD8" w:rsidRDefault="00D17AD4" w:rsidP="00FA5255">
            <w:pPr>
              <w:rPr>
                <w:sz w:val="16"/>
                <w:szCs w:val="16"/>
              </w:rPr>
            </w:pPr>
            <w:r>
              <w:rPr>
                <w:sz w:val="16"/>
                <w:szCs w:val="16"/>
              </w:rPr>
              <w:t>35</w:t>
            </w:r>
          </w:p>
        </w:tc>
        <w:tc>
          <w:tcPr>
            <w:tcW w:w="1134" w:type="dxa"/>
            <w:shd w:val="clear" w:color="auto" w:fill="D9D9D9" w:themeFill="background1" w:themeFillShade="D9"/>
          </w:tcPr>
          <w:p w:rsidR="00D17AD4" w:rsidRPr="00A84FD8" w:rsidRDefault="00D17AD4" w:rsidP="00FA5255">
            <w:pPr>
              <w:rPr>
                <w:sz w:val="16"/>
                <w:szCs w:val="16"/>
              </w:rPr>
            </w:pPr>
            <w:r>
              <w:rPr>
                <w:sz w:val="16"/>
                <w:szCs w:val="16"/>
              </w:rPr>
              <w:t>19</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Pr>
                <w:sz w:val="16"/>
                <w:szCs w:val="16"/>
              </w:rPr>
              <w:t>1885</w:t>
            </w:r>
          </w:p>
        </w:tc>
        <w:tc>
          <w:tcPr>
            <w:tcW w:w="1910" w:type="dxa"/>
            <w:shd w:val="clear" w:color="auto" w:fill="D9D9D9" w:themeFill="background1" w:themeFillShade="D9"/>
          </w:tcPr>
          <w:p w:rsidR="00D17AD4" w:rsidRPr="00A84FD8" w:rsidRDefault="00D17AD4" w:rsidP="00FA5255">
            <w:pPr>
              <w:rPr>
                <w:sz w:val="16"/>
                <w:szCs w:val="16"/>
              </w:rPr>
            </w:pPr>
            <w:r>
              <w:rPr>
                <w:sz w:val="16"/>
                <w:szCs w:val="16"/>
              </w:rPr>
              <w:t>Inner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Carlisle</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23</w:t>
            </w:r>
          </w:p>
        </w:tc>
        <w:tc>
          <w:tcPr>
            <w:tcW w:w="993" w:type="dxa"/>
            <w:shd w:val="clear" w:color="auto" w:fill="FF0000"/>
          </w:tcPr>
          <w:p w:rsidR="00D17AD4" w:rsidRPr="00A84FD8" w:rsidRDefault="00D17AD4" w:rsidP="00FA5255">
            <w:pPr>
              <w:rPr>
                <w:sz w:val="16"/>
                <w:szCs w:val="16"/>
              </w:rPr>
            </w:pPr>
            <w:r>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w:t>
            </w:r>
            <w:r>
              <w:rPr>
                <w:sz w:val="16"/>
                <w:szCs w:val="16"/>
              </w:rPr>
              <w:t>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Oats Street</w:t>
            </w:r>
            <w:r>
              <w:rPr>
                <w:sz w:val="16"/>
                <w:szCs w:val="16"/>
              </w:rPr>
              <w:t xml:space="preserve"> (4)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35</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16</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w:t>
            </w:r>
            <w:r>
              <w:rPr>
                <w:sz w:val="16"/>
                <w:szCs w:val="16"/>
              </w:rPr>
              <w:t>5</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i/>
                <w:sz w:val="16"/>
                <w:szCs w:val="16"/>
              </w:rPr>
            </w:pP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Cottesloe (1998)</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Cottesloe</w:t>
            </w:r>
            <w:r>
              <w:rPr>
                <w:sz w:val="16"/>
                <w:szCs w:val="16"/>
              </w:rPr>
              <w:t xml:space="preserve"> (4)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21</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Grant Street</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22</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Victoria Street</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32</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10</w:t>
            </w:r>
          </w:p>
        </w:tc>
        <w:tc>
          <w:tcPr>
            <w:tcW w:w="993" w:type="dxa"/>
            <w:shd w:val="clear" w:color="auto" w:fill="FF0000"/>
          </w:tcPr>
          <w:p w:rsidR="00D17AD4" w:rsidRPr="00A84FD8" w:rsidRDefault="00D17AD4" w:rsidP="00FA5255">
            <w:pPr>
              <w:rPr>
                <w:sz w:val="16"/>
                <w:szCs w:val="16"/>
              </w:rPr>
            </w:pPr>
            <w:r>
              <w:rPr>
                <w:sz w:val="16"/>
                <w:szCs w:val="16"/>
              </w:rPr>
              <w:t>No</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516FBC"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Vincent (1998)</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East Perth</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 xml:space="preserve">55 </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14</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516FBC" w:rsidRDefault="00D17AD4" w:rsidP="00FA5255">
            <w:pPr>
              <w:rPr>
                <w:color w:val="FF0000"/>
                <w:sz w:val="16"/>
                <w:szCs w:val="16"/>
              </w:rPr>
            </w:pPr>
            <w:r w:rsidRPr="00516FBC">
              <w:rPr>
                <w:color w:val="FF0000"/>
                <w:sz w:val="16"/>
                <w:szCs w:val="16"/>
              </w:rPr>
              <w:t>Redevelopment Authority area</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r w:rsidRPr="00A84FD8">
              <w:rPr>
                <w:sz w:val="16"/>
                <w:szCs w:val="16"/>
              </w:rPr>
              <w:t>Cambridge (1998)</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Leederville</w:t>
            </w:r>
            <w:r>
              <w:rPr>
                <w:sz w:val="16"/>
                <w:szCs w:val="16"/>
              </w:rPr>
              <w:t xml:space="preserve"> (3)</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60</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17</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D9D9D9" w:themeFill="background1" w:themeFillShade="D9"/>
          </w:tcPr>
          <w:p w:rsidR="00D17AD4" w:rsidRPr="004B0CF5" w:rsidRDefault="00D17AD4" w:rsidP="00FA5255">
            <w:pPr>
              <w:rPr>
                <w:b/>
                <w:sz w:val="16"/>
                <w:szCs w:val="16"/>
              </w:rPr>
            </w:pPr>
          </w:p>
        </w:tc>
        <w:tc>
          <w:tcPr>
            <w:tcW w:w="1275" w:type="dxa"/>
            <w:shd w:val="clear" w:color="auto" w:fill="D9D9D9" w:themeFill="background1" w:themeFillShade="D9"/>
          </w:tcPr>
          <w:p w:rsidR="00D17AD4" w:rsidRPr="00A84FD8" w:rsidRDefault="00D17AD4" w:rsidP="00FA5255">
            <w:pPr>
              <w:rPr>
                <w:sz w:val="16"/>
                <w:szCs w:val="16"/>
              </w:rPr>
            </w:pP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West Leederville</w:t>
            </w:r>
            <w:r>
              <w:rPr>
                <w:sz w:val="16"/>
                <w:szCs w:val="16"/>
              </w:rPr>
              <w:t xml:space="preserve"> (4)</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45</w:t>
            </w:r>
          </w:p>
        </w:tc>
        <w:tc>
          <w:tcPr>
            <w:tcW w:w="1134" w:type="dxa"/>
            <w:shd w:val="clear" w:color="auto" w:fill="D9D9D9" w:themeFill="background1" w:themeFillShade="D9"/>
          </w:tcPr>
          <w:p w:rsidR="00D17AD4" w:rsidRPr="00A84FD8" w:rsidRDefault="00D17AD4" w:rsidP="00FA5255">
            <w:pPr>
              <w:rPr>
                <w:sz w:val="16"/>
                <w:szCs w:val="16"/>
              </w:rPr>
            </w:pPr>
            <w:r w:rsidRPr="00A84FD8">
              <w:rPr>
                <w:sz w:val="16"/>
                <w:szCs w:val="16"/>
              </w:rPr>
              <w:t>17</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D9D9D9" w:themeFill="background1" w:themeFillShade="D9"/>
          </w:tcPr>
          <w:p w:rsidR="00D17AD4" w:rsidRPr="00A84FD8" w:rsidRDefault="00D17AD4" w:rsidP="00FA5255">
            <w:pPr>
              <w:rPr>
                <w:sz w:val="16"/>
                <w:szCs w:val="16"/>
              </w:rPr>
            </w:pPr>
            <w:r w:rsidRPr="00A84FD8">
              <w:rPr>
                <w:sz w:val="16"/>
                <w:szCs w:val="16"/>
              </w:rPr>
              <w:t>1881</w:t>
            </w:r>
          </w:p>
        </w:tc>
        <w:tc>
          <w:tcPr>
            <w:tcW w:w="1910" w:type="dxa"/>
            <w:shd w:val="clear" w:color="auto" w:fill="D9D9D9" w:themeFill="background1" w:themeFillShade="D9"/>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val="restart"/>
            <w:shd w:val="clear" w:color="auto" w:fill="BFBFBF" w:themeFill="background1" w:themeFillShade="BF"/>
          </w:tcPr>
          <w:p w:rsidR="00D17AD4" w:rsidRPr="004B0CF5" w:rsidRDefault="00D17AD4" w:rsidP="00FA5255">
            <w:pPr>
              <w:rPr>
                <w:b/>
                <w:sz w:val="16"/>
                <w:szCs w:val="16"/>
              </w:rPr>
            </w:pPr>
            <w:r w:rsidRPr="004B0CF5">
              <w:rPr>
                <w:b/>
                <w:sz w:val="16"/>
                <w:szCs w:val="16"/>
              </w:rPr>
              <w:t>3) DC1.6 State Policy Revision 1 (1999)</w:t>
            </w:r>
          </w:p>
          <w:p w:rsidR="00D17AD4" w:rsidRPr="004B0CF5" w:rsidRDefault="00D17AD4" w:rsidP="00FA5255">
            <w:pPr>
              <w:rPr>
                <w:b/>
                <w:i/>
                <w:sz w:val="16"/>
                <w:szCs w:val="16"/>
              </w:rPr>
            </w:pPr>
          </w:p>
          <w:p w:rsidR="00D17AD4" w:rsidRPr="004B0CF5" w:rsidRDefault="00D17AD4" w:rsidP="00FA5255">
            <w:pPr>
              <w:rPr>
                <w:b/>
                <w:i/>
                <w:sz w:val="16"/>
                <w:szCs w:val="16"/>
              </w:rPr>
            </w:pPr>
            <w:r w:rsidRPr="004B0CF5">
              <w:rPr>
                <w:b/>
                <w:i/>
                <w:sz w:val="16"/>
                <w:szCs w:val="16"/>
              </w:rPr>
              <w:t>Required medium to high density but no numeric specification</w:t>
            </w:r>
          </w:p>
          <w:p w:rsidR="00D17AD4" w:rsidRPr="004B0CF5" w:rsidRDefault="00D17AD4" w:rsidP="00FA5255">
            <w:pPr>
              <w:rPr>
                <w:b/>
                <w:sz w:val="16"/>
                <w:szCs w:val="16"/>
              </w:rPr>
            </w:pPr>
            <w:r w:rsidRPr="004B0CF5">
              <w:rPr>
                <w:b/>
                <w:i/>
                <w:sz w:val="16"/>
                <w:szCs w:val="16"/>
              </w:rPr>
              <w:t>Added bus stations and routes in addition to railway station precincts</w:t>
            </w: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Melville (1999)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Bull Creek</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17</w:t>
            </w:r>
          </w:p>
        </w:tc>
        <w:tc>
          <w:tcPr>
            <w:tcW w:w="993" w:type="dxa"/>
            <w:shd w:val="clear" w:color="auto" w:fill="FF0000"/>
          </w:tcPr>
          <w:p w:rsidR="00D17AD4" w:rsidRPr="00A84FD8" w:rsidRDefault="00D17AD4" w:rsidP="00FA5255">
            <w:pPr>
              <w:rPr>
                <w:sz w:val="16"/>
                <w:szCs w:val="16"/>
                <w:vertAlign w:val="superscript"/>
              </w:rPr>
            </w:pPr>
            <w:r w:rsidRPr="00A84FD8">
              <w:rPr>
                <w:sz w:val="16"/>
                <w:szCs w:val="16"/>
              </w:rPr>
              <w:t>No</w:t>
            </w:r>
            <w:r w:rsidRPr="00A84FD8">
              <w:rPr>
                <w:sz w:val="16"/>
                <w:szCs w:val="16"/>
                <w:vertAlign w:val="superscript"/>
              </w:rPr>
              <w:t>#</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 xml:space="preserve">2007 </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i/>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Murdoch</w:t>
            </w:r>
            <w:r>
              <w:rPr>
                <w:sz w:val="16"/>
                <w:szCs w:val="16"/>
              </w:rPr>
              <w:t xml:space="preserve"> (s)</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 xml:space="preserve">2007 </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Claremont (1999)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Claremont</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26</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13</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Loch Street</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11</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Showgrounds</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Swanbourne</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15</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Mandurah (1999)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Mandurah</w:t>
            </w:r>
            <w:r>
              <w:rPr>
                <w:sz w:val="16"/>
                <w:szCs w:val="16"/>
              </w:rPr>
              <w:t xml:space="preserve"> (2)</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15</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 xml:space="preserve">2007 </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 – Regional Centre</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Mosman Park (1999)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Mosman Park</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27</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12</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Joondalup (2000)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Currambine</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36</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26</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Edgewater</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17</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Greenwood</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92D050"/>
          </w:tcPr>
          <w:p w:rsidR="00D17AD4" w:rsidRPr="00A84FD8" w:rsidRDefault="00D17AD4" w:rsidP="00FA5255">
            <w:pPr>
              <w:rPr>
                <w:sz w:val="16"/>
                <w:szCs w:val="16"/>
              </w:rPr>
            </w:pPr>
            <w:r w:rsidRPr="00A84FD8">
              <w:rPr>
                <w:sz w:val="16"/>
                <w:szCs w:val="16"/>
              </w:rPr>
              <w:t>Joondalup</w:t>
            </w:r>
            <w:r>
              <w:rPr>
                <w:sz w:val="16"/>
                <w:szCs w:val="16"/>
              </w:rPr>
              <w:t xml:space="preserve"> (2)</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 xml:space="preserve">Outer suburb - Regional Centre </w:t>
            </w:r>
            <w:r w:rsidRPr="00A84FD8">
              <w:rPr>
                <w:sz w:val="16"/>
                <w:szCs w:val="16"/>
              </w:rPr>
              <w:lastRenderedPageBreak/>
              <w:t>(primarily retail)</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Warwick</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17</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Whitfords</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1993</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Wanneroo (2001)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Clarkson</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2004</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New 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Subiaco (2001)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Daglish</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25</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12</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Shenton Park</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6</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Subiaco</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38</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11</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color w:val="FF0000"/>
                <w:sz w:val="16"/>
                <w:szCs w:val="16"/>
              </w:rPr>
            </w:pPr>
            <w:r w:rsidRPr="00A84FD8">
              <w:rPr>
                <w:color w:val="FF0000"/>
                <w:sz w:val="16"/>
                <w:szCs w:val="16"/>
              </w:rPr>
              <w:t>Redevelopment Authority area (1990s/2000s)</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Gosnells (2002)</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Beckenham</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13</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1885</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Gosnells</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993" w:type="dxa"/>
            <w:shd w:val="clear" w:color="auto" w:fill="FF0000"/>
          </w:tcPr>
          <w:p w:rsidR="00D17AD4" w:rsidRPr="00A84FD8" w:rsidRDefault="00D17AD4" w:rsidP="00FA5255">
            <w:pPr>
              <w:rPr>
                <w:sz w:val="16"/>
                <w:szCs w:val="16"/>
              </w:rPr>
            </w:pPr>
            <w:r>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1885</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Kenwick</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18</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9</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1885</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Maddington</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6</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1885</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Seaforth</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6</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1885</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Pr>
                <w:sz w:val="16"/>
                <w:szCs w:val="16"/>
              </w:rPr>
              <w:t>Cockburn (2002)</w:t>
            </w:r>
          </w:p>
        </w:tc>
        <w:tc>
          <w:tcPr>
            <w:tcW w:w="1134" w:type="dxa"/>
            <w:shd w:val="clear" w:color="auto" w:fill="BFBFBF" w:themeFill="background1" w:themeFillShade="BF"/>
          </w:tcPr>
          <w:p w:rsidR="00D17AD4" w:rsidRPr="00A84FD8" w:rsidRDefault="00D17AD4" w:rsidP="00FA5255">
            <w:pPr>
              <w:rPr>
                <w:sz w:val="16"/>
                <w:szCs w:val="16"/>
              </w:rPr>
            </w:pPr>
            <w:r>
              <w:rPr>
                <w:sz w:val="16"/>
                <w:szCs w:val="16"/>
              </w:rPr>
              <w:t>Cockburn Central (3)</w:t>
            </w:r>
          </w:p>
        </w:tc>
        <w:tc>
          <w:tcPr>
            <w:tcW w:w="1134" w:type="dxa"/>
            <w:shd w:val="clear" w:color="auto" w:fill="BFBFBF" w:themeFill="background1" w:themeFillShade="BF"/>
          </w:tcPr>
          <w:p w:rsidR="00D17AD4" w:rsidRPr="00A84FD8" w:rsidRDefault="00D17AD4" w:rsidP="00FA5255">
            <w:pPr>
              <w:rPr>
                <w:sz w:val="16"/>
                <w:szCs w:val="16"/>
              </w:rPr>
            </w:pPr>
            <w:r>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Pr>
                <w:sz w:val="16"/>
                <w:szCs w:val="16"/>
              </w:rPr>
              <w:t>3</w:t>
            </w:r>
          </w:p>
        </w:tc>
        <w:tc>
          <w:tcPr>
            <w:tcW w:w="993" w:type="dxa"/>
            <w:shd w:val="clear" w:color="auto" w:fill="FF0000"/>
          </w:tcPr>
          <w:p w:rsidR="00D17AD4" w:rsidRPr="00A84FD8" w:rsidRDefault="00D17AD4" w:rsidP="00FA5255">
            <w:pPr>
              <w:rPr>
                <w:sz w:val="16"/>
                <w:szCs w:val="16"/>
              </w:rPr>
            </w:pPr>
            <w:r>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p>
        </w:tc>
        <w:tc>
          <w:tcPr>
            <w:tcW w:w="1910" w:type="dxa"/>
            <w:shd w:val="clear" w:color="auto" w:fill="BFBFBF" w:themeFill="background1" w:themeFillShade="BF"/>
          </w:tcPr>
          <w:p w:rsidR="00D17AD4" w:rsidRDefault="00D17AD4" w:rsidP="00FA5255">
            <w:pPr>
              <w:rPr>
                <w:sz w:val="16"/>
                <w:szCs w:val="16"/>
              </w:rPr>
            </w:pPr>
            <w:r>
              <w:rPr>
                <w:sz w:val="16"/>
                <w:szCs w:val="16"/>
              </w:rPr>
              <w:t>Outer suburb</w:t>
            </w:r>
          </w:p>
          <w:p w:rsidR="0032167D" w:rsidRPr="00A84FD8" w:rsidRDefault="0032167D" w:rsidP="00FA5255">
            <w:pPr>
              <w:rPr>
                <w:sz w:val="16"/>
                <w:szCs w:val="16"/>
              </w:rPr>
            </w:pPr>
            <w:r>
              <w:rPr>
                <w:sz w:val="16"/>
                <w:szCs w:val="16"/>
              </w:rPr>
              <w:t>Landcorp involvement</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South Perth (2003)</w:t>
            </w:r>
          </w:p>
        </w:tc>
        <w:tc>
          <w:tcPr>
            <w:tcW w:w="1134" w:type="dxa"/>
            <w:shd w:val="clear" w:color="auto" w:fill="BFBFBF" w:themeFill="background1" w:themeFillShade="BF"/>
          </w:tcPr>
          <w:p w:rsidR="00D17AD4" w:rsidRPr="00CC7F58" w:rsidRDefault="00D17AD4" w:rsidP="00FA5255">
            <w:pPr>
              <w:rPr>
                <w:sz w:val="16"/>
                <w:szCs w:val="16"/>
              </w:rPr>
            </w:pPr>
            <w:r w:rsidRPr="00A84FD8">
              <w:rPr>
                <w:sz w:val="16"/>
                <w:szCs w:val="16"/>
              </w:rPr>
              <w:t>Canning Bridge</w:t>
            </w:r>
            <w:r w:rsidRPr="00A84FD8">
              <w:rPr>
                <w:sz w:val="16"/>
                <w:szCs w:val="16"/>
                <w:vertAlign w:val="superscript"/>
              </w:rPr>
              <w:t>*</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35</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12</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2007</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Bayswater (2004)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Bayswater</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28</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19</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Maylands</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43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33</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Meltham</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30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24</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Middle ring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Mount Lawley</w:t>
            </w:r>
            <w:r>
              <w:rPr>
                <w:sz w:val="16"/>
                <w:szCs w:val="16"/>
              </w:rPr>
              <w:t xml:space="preserve"> (4)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28</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17</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suburb</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Perth (2004)</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Claisebrook</w:t>
            </w:r>
            <w:r>
              <w:rPr>
                <w:sz w:val="16"/>
                <w:szCs w:val="16"/>
              </w:rPr>
              <w:t xml:space="preserve"> (1)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89</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10</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color w:val="FF0000"/>
                <w:sz w:val="16"/>
                <w:szCs w:val="16"/>
              </w:rPr>
            </w:pPr>
            <w:r w:rsidRPr="00A84FD8">
              <w:rPr>
                <w:color w:val="FF0000"/>
                <w:sz w:val="16"/>
                <w:szCs w:val="16"/>
              </w:rPr>
              <w:t>Redevelopment Authority area</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Esplanade</w:t>
            </w:r>
            <w:r>
              <w:rPr>
                <w:sz w:val="16"/>
                <w:szCs w:val="16"/>
              </w:rPr>
              <w:t xml:space="preserve"> (1)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160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2007</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city</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Perth Central</w:t>
            </w:r>
            <w:r>
              <w:rPr>
                <w:sz w:val="16"/>
                <w:szCs w:val="16"/>
              </w:rPr>
              <w:t xml:space="preserve"> (1)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71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city</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City West</w:t>
            </w:r>
            <w:r>
              <w:rPr>
                <w:sz w:val="16"/>
                <w:szCs w:val="16"/>
              </w:rPr>
              <w:t xml:space="preserve"> (1)</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82</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7</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1881</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Inner city</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r w:rsidRPr="00A84FD8">
              <w:rPr>
                <w:sz w:val="16"/>
                <w:szCs w:val="16"/>
              </w:rPr>
              <w:t>Rockingham (2004)</w:t>
            </w:r>
          </w:p>
        </w:tc>
        <w:tc>
          <w:tcPr>
            <w:tcW w:w="1134" w:type="dxa"/>
            <w:shd w:val="clear" w:color="auto" w:fill="92D050"/>
          </w:tcPr>
          <w:p w:rsidR="00D17AD4" w:rsidRPr="00A84FD8" w:rsidRDefault="00D17AD4" w:rsidP="00FA5255">
            <w:pPr>
              <w:rPr>
                <w:sz w:val="16"/>
                <w:szCs w:val="16"/>
              </w:rPr>
            </w:pPr>
            <w:r w:rsidRPr="00A84FD8">
              <w:rPr>
                <w:sz w:val="16"/>
                <w:szCs w:val="16"/>
              </w:rPr>
              <w:t>Rockingham</w:t>
            </w:r>
            <w:r>
              <w:rPr>
                <w:sz w:val="16"/>
                <w:szCs w:val="16"/>
              </w:rPr>
              <w:t xml:space="preserve"> (2)</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20</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16</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2007</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 – Regional Centre</w:t>
            </w:r>
          </w:p>
        </w:tc>
      </w:tr>
      <w:tr w:rsidR="00D17AD4" w:rsidRPr="00A84FD8" w:rsidTr="00FA5255">
        <w:tc>
          <w:tcPr>
            <w:tcW w:w="1668" w:type="dxa"/>
            <w:vMerge/>
            <w:shd w:val="clear" w:color="auto" w:fill="BFBFBF" w:themeFill="background1" w:themeFillShade="BF"/>
          </w:tcPr>
          <w:p w:rsidR="00D17AD4" w:rsidRPr="004B0CF5" w:rsidRDefault="00D17AD4" w:rsidP="00FA5255">
            <w:pPr>
              <w:rPr>
                <w:b/>
                <w:sz w:val="16"/>
                <w:szCs w:val="16"/>
              </w:rPr>
            </w:pPr>
          </w:p>
        </w:tc>
        <w:tc>
          <w:tcPr>
            <w:tcW w:w="1275" w:type="dxa"/>
            <w:shd w:val="clear" w:color="auto" w:fill="BFBFBF" w:themeFill="background1" w:themeFillShade="BF"/>
          </w:tcPr>
          <w:p w:rsidR="00D17AD4" w:rsidRPr="00A84FD8" w:rsidRDefault="00D17AD4" w:rsidP="00FA5255">
            <w:pPr>
              <w:rPr>
                <w:sz w:val="16"/>
                <w:szCs w:val="16"/>
              </w:rPr>
            </w:pP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Warnbro</w:t>
            </w:r>
            <w:r>
              <w:rPr>
                <w:sz w:val="16"/>
                <w:szCs w:val="16"/>
              </w:rPr>
              <w:t xml:space="preserve"> (3)</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27</w:t>
            </w:r>
          </w:p>
        </w:tc>
        <w:tc>
          <w:tcPr>
            <w:tcW w:w="1134" w:type="dxa"/>
            <w:shd w:val="clear" w:color="auto" w:fill="BFBFBF" w:themeFill="background1" w:themeFillShade="BF"/>
          </w:tcPr>
          <w:p w:rsidR="00D17AD4" w:rsidRPr="00A84FD8" w:rsidRDefault="00D17AD4" w:rsidP="00FA5255">
            <w:pPr>
              <w:rPr>
                <w:sz w:val="16"/>
                <w:szCs w:val="16"/>
              </w:rPr>
            </w:pPr>
            <w:r w:rsidRPr="00A84FD8">
              <w:rPr>
                <w:sz w:val="16"/>
                <w:szCs w:val="16"/>
              </w:rPr>
              <w:t>10</w:t>
            </w:r>
          </w:p>
        </w:tc>
        <w:tc>
          <w:tcPr>
            <w:tcW w:w="993" w:type="dxa"/>
            <w:shd w:val="clear" w:color="auto" w:fill="FF0000"/>
          </w:tcPr>
          <w:p w:rsidR="00D17AD4" w:rsidRPr="00A84FD8" w:rsidRDefault="00D17AD4" w:rsidP="00FA5255">
            <w:pPr>
              <w:rPr>
                <w:sz w:val="16"/>
                <w:szCs w:val="16"/>
              </w:rPr>
            </w:pPr>
            <w:r w:rsidRPr="00A84FD8">
              <w:rPr>
                <w:sz w:val="16"/>
                <w:szCs w:val="16"/>
              </w:rPr>
              <w:t>No</w:t>
            </w:r>
          </w:p>
        </w:tc>
        <w:tc>
          <w:tcPr>
            <w:tcW w:w="850" w:type="dxa"/>
            <w:shd w:val="clear" w:color="auto" w:fill="BFBFBF" w:themeFill="background1" w:themeFillShade="BF"/>
          </w:tcPr>
          <w:p w:rsidR="00D17AD4" w:rsidRPr="00A84FD8" w:rsidRDefault="00D17AD4" w:rsidP="00FA5255">
            <w:pPr>
              <w:rPr>
                <w:sz w:val="16"/>
                <w:szCs w:val="16"/>
              </w:rPr>
            </w:pPr>
            <w:r w:rsidRPr="00A84FD8">
              <w:rPr>
                <w:sz w:val="16"/>
                <w:szCs w:val="16"/>
              </w:rPr>
              <w:t>2007</w:t>
            </w:r>
          </w:p>
        </w:tc>
        <w:tc>
          <w:tcPr>
            <w:tcW w:w="1910" w:type="dxa"/>
            <w:shd w:val="clear" w:color="auto" w:fill="BFBFBF" w:themeFill="background1" w:themeFillShade="BF"/>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val="restart"/>
            <w:shd w:val="clear" w:color="auto" w:fill="A6A6A6" w:themeFill="background1" w:themeFillShade="A6"/>
          </w:tcPr>
          <w:p w:rsidR="00D17AD4" w:rsidRPr="004B0CF5" w:rsidRDefault="00D17AD4" w:rsidP="00FA5255">
            <w:pPr>
              <w:rPr>
                <w:b/>
                <w:sz w:val="16"/>
                <w:szCs w:val="16"/>
              </w:rPr>
            </w:pPr>
            <w:r w:rsidRPr="004B0CF5">
              <w:rPr>
                <w:b/>
                <w:sz w:val="16"/>
                <w:szCs w:val="16"/>
              </w:rPr>
              <w:t>4) DC1.6 State Policy Revision 2 (2005)</w:t>
            </w:r>
          </w:p>
          <w:p w:rsidR="00D17AD4" w:rsidRPr="004B0CF5" w:rsidRDefault="00D17AD4" w:rsidP="00FA5255">
            <w:pPr>
              <w:rPr>
                <w:b/>
                <w:i/>
                <w:sz w:val="16"/>
                <w:szCs w:val="16"/>
              </w:rPr>
            </w:pPr>
            <w:r w:rsidRPr="004B0CF5">
              <w:rPr>
                <w:b/>
                <w:i/>
                <w:sz w:val="16"/>
                <w:szCs w:val="16"/>
              </w:rPr>
              <w:t>Residential density set at 25 dwellings/ha or above – higher where in close proximity to high frequency public transport</w:t>
            </w:r>
          </w:p>
          <w:p w:rsidR="00D17AD4" w:rsidRPr="004B0CF5" w:rsidRDefault="00D17AD4" w:rsidP="00FA5255">
            <w:pPr>
              <w:rPr>
                <w:b/>
                <w:sz w:val="16"/>
                <w:szCs w:val="16"/>
              </w:rPr>
            </w:pPr>
            <w:r w:rsidRPr="004B0CF5">
              <w:rPr>
                <w:b/>
                <w:i/>
                <w:sz w:val="16"/>
                <w:szCs w:val="16"/>
              </w:rPr>
              <w:t>Requires high trip generating development</w:t>
            </w:r>
          </w:p>
        </w:tc>
        <w:tc>
          <w:tcPr>
            <w:tcW w:w="1275" w:type="dxa"/>
            <w:shd w:val="clear" w:color="auto" w:fill="A6A6A6" w:themeFill="background1" w:themeFillShade="A6"/>
          </w:tcPr>
          <w:p w:rsidR="00D17AD4" w:rsidRPr="00A84FD8" w:rsidRDefault="00D17AD4" w:rsidP="00FA5255">
            <w:pPr>
              <w:rPr>
                <w:sz w:val="16"/>
                <w:szCs w:val="16"/>
              </w:rPr>
            </w:pPr>
            <w:r w:rsidRPr="00A84FD8">
              <w:rPr>
                <w:sz w:val="16"/>
                <w:szCs w:val="16"/>
              </w:rPr>
              <w:t>Armadale (2005)</w:t>
            </w:r>
          </w:p>
        </w:tc>
        <w:tc>
          <w:tcPr>
            <w:tcW w:w="1134" w:type="dxa"/>
            <w:shd w:val="clear" w:color="auto" w:fill="92D050"/>
          </w:tcPr>
          <w:p w:rsidR="00D17AD4" w:rsidRPr="00A84FD8" w:rsidRDefault="00D17AD4" w:rsidP="00FA5255">
            <w:pPr>
              <w:rPr>
                <w:sz w:val="16"/>
                <w:szCs w:val="16"/>
              </w:rPr>
            </w:pPr>
            <w:r w:rsidRPr="00A84FD8">
              <w:rPr>
                <w:sz w:val="16"/>
                <w:szCs w:val="16"/>
              </w:rPr>
              <w:t>Armadale</w:t>
            </w:r>
            <w:r>
              <w:rPr>
                <w:sz w:val="16"/>
                <w:szCs w:val="16"/>
              </w:rPr>
              <w:t xml:space="preserve"> (2)</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35</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22</w:t>
            </w:r>
          </w:p>
        </w:tc>
        <w:tc>
          <w:tcPr>
            <w:tcW w:w="993" w:type="dxa"/>
            <w:shd w:val="clear" w:color="auto" w:fill="00B050"/>
          </w:tcPr>
          <w:p w:rsidR="00D17AD4" w:rsidRPr="00A84FD8" w:rsidRDefault="00D17AD4" w:rsidP="00FA5255">
            <w:pPr>
              <w:rPr>
                <w:sz w:val="16"/>
                <w:szCs w:val="16"/>
              </w:rPr>
            </w:pPr>
            <w:r w:rsidRPr="00A84FD8">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1885</w:t>
            </w:r>
          </w:p>
        </w:tc>
        <w:tc>
          <w:tcPr>
            <w:tcW w:w="1910" w:type="dxa"/>
            <w:shd w:val="clear" w:color="auto" w:fill="A6A6A6" w:themeFill="background1" w:themeFillShade="A6"/>
          </w:tcPr>
          <w:p w:rsidR="00D17AD4" w:rsidRPr="00A84FD8" w:rsidRDefault="00D17AD4" w:rsidP="00FA5255">
            <w:pPr>
              <w:rPr>
                <w:sz w:val="16"/>
                <w:szCs w:val="16"/>
              </w:rPr>
            </w:pPr>
            <w:r w:rsidRPr="00A84FD8">
              <w:rPr>
                <w:sz w:val="16"/>
                <w:szCs w:val="16"/>
              </w:rPr>
              <w:t>Outer suburb – Regional Centre</w:t>
            </w:r>
          </w:p>
          <w:p w:rsidR="00D17AD4" w:rsidRPr="00A84FD8" w:rsidRDefault="00D17AD4" w:rsidP="00FA5255">
            <w:pPr>
              <w:rPr>
                <w:color w:val="FF0000"/>
                <w:sz w:val="16"/>
                <w:szCs w:val="16"/>
              </w:rPr>
            </w:pPr>
            <w:r w:rsidRPr="00A84FD8">
              <w:rPr>
                <w:color w:val="FF0000"/>
                <w:sz w:val="16"/>
                <w:szCs w:val="16"/>
              </w:rPr>
              <w:t>Redevelopment Authority area</w:t>
            </w:r>
          </w:p>
        </w:tc>
      </w:tr>
      <w:tr w:rsidR="00D17AD4" w:rsidRPr="00A84FD8" w:rsidTr="00FA5255">
        <w:tc>
          <w:tcPr>
            <w:tcW w:w="1668" w:type="dxa"/>
            <w:vMerge/>
            <w:shd w:val="clear" w:color="auto" w:fill="A6A6A6" w:themeFill="background1" w:themeFillShade="A6"/>
          </w:tcPr>
          <w:p w:rsidR="00D17AD4" w:rsidRPr="004B0CF5" w:rsidRDefault="00D17AD4" w:rsidP="00FA5255">
            <w:pPr>
              <w:rPr>
                <w:b/>
                <w:i/>
                <w:sz w:val="16"/>
                <w:szCs w:val="16"/>
              </w:rPr>
            </w:pPr>
          </w:p>
        </w:tc>
        <w:tc>
          <w:tcPr>
            <w:tcW w:w="1275" w:type="dxa"/>
            <w:shd w:val="clear" w:color="auto" w:fill="A6A6A6" w:themeFill="background1" w:themeFillShade="A6"/>
          </w:tcPr>
          <w:p w:rsidR="00D17AD4" w:rsidRPr="00A84FD8" w:rsidRDefault="00D17AD4" w:rsidP="00FA5255">
            <w:pPr>
              <w:rPr>
                <w:sz w:val="16"/>
                <w:szCs w:val="16"/>
              </w:rPr>
            </w:pP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Challis</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34</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21</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1885</w:t>
            </w:r>
          </w:p>
        </w:tc>
        <w:tc>
          <w:tcPr>
            <w:tcW w:w="1910" w:type="dxa"/>
            <w:shd w:val="clear" w:color="auto" w:fill="A6A6A6" w:themeFill="background1" w:themeFillShade="A6"/>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A6A6A6" w:themeFill="background1" w:themeFillShade="A6"/>
          </w:tcPr>
          <w:p w:rsidR="00D17AD4" w:rsidRPr="004B0CF5" w:rsidRDefault="00D17AD4" w:rsidP="00FA5255">
            <w:pPr>
              <w:rPr>
                <w:b/>
                <w:i/>
                <w:sz w:val="16"/>
                <w:szCs w:val="16"/>
              </w:rPr>
            </w:pPr>
          </w:p>
        </w:tc>
        <w:tc>
          <w:tcPr>
            <w:tcW w:w="1275" w:type="dxa"/>
            <w:shd w:val="clear" w:color="auto" w:fill="A6A6A6" w:themeFill="background1" w:themeFillShade="A6"/>
          </w:tcPr>
          <w:p w:rsidR="00D17AD4" w:rsidRPr="00A84FD8" w:rsidRDefault="00D17AD4" w:rsidP="00FA5255">
            <w:pPr>
              <w:rPr>
                <w:sz w:val="16"/>
                <w:szCs w:val="16"/>
              </w:rPr>
            </w:pP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Kelmscott</w:t>
            </w:r>
            <w:r>
              <w:rPr>
                <w:sz w:val="16"/>
                <w:szCs w:val="16"/>
              </w:rPr>
              <w:t xml:space="preserve"> (4)</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34</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20</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1885</w:t>
            </w:r>
          </w:p>
        </w:tc>
        <w:tc>
          <w:tcPr>
            <w:tcW w:w="1910" w:type="dxa"/>
            <w:shd w:val="clear" w:color="auto" w:fill="A6A6A6" w:themeFill="background1" w:themeFillShade="A6"/>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A6A6A6" w:themeFill="background1" w:themeFillShade="A6"/>
          </w:tcPr>
          <w:p w:rsidR="00D17AD4" w:rsidRPr="004B0CF5" w:rsidRDefault="00D17AD4" w:rsidP="00FA5255">
            <w:pPr>
              <w:rPr>
                <w:b/>
                <w:sz w:val="16"/>
                <w:szCs w:val="16"/>
              </w:rPr>
            </w:pPr>
          </w:p>
        </w:tc>
        <w:tc>
          <w:tcPr>
            <w:tcW w:w="1275" w:type="dxa"/>
            <w:shd w:val="clear" w:color="auto" w:fill="A6A6A6" w:themeFill="background1" w:themeFillShade="A6"/>
          </w:tcPr>
          <w:p w:rsidR="00D17AD4" w:rsidRPr="00A84FD8" w:rsidRDefault="00D17AD4" w:rsidP="00FA5255">
            <w:pPr>
              <w:rPr>
                <w:sz w:val="16"/>
                <w:szCs w:val="16"/>
              </w:rPr>
            </w:pP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Sherwood</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34</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27</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1885</w:t>
            </w:r>
          </w:p>
        </w:tc>
        <w:tc>
          <w:tcPr>
            <w:tcW w:w="1910" w:type="dxa"/>
            <w:shd w:val="clear" w:color="auto" w:fill="A6A6A6" w:themeFill="background1" w:themeFillShade="A6"/>
          </w:tcPr>
          <w:p w:rsidR="00D17AD4" w:rsidRPr="00A84FD8" w:rsidRDefault="00D17AD4" w:rsidP="00FA5255">
            <w:pPr>
              <w:rPr>
                <w:sz w:val="16"/>
                <w:szCs w:val="16"/>
              </w:rPr>
            </w:pPr>
            <w:r w:rsidRPr="00A84FD8">
              <w:rPr>
                <w:sz w:val="16"/>
                <w:szCs w:val="16"/>
              </w:rPr>
              <w:t>Outer suburb</w:t>
            </w:r>
          </w:p>
        </w:tc>
      </w:tr>
      <w:tr w:rsidR="00D17AD4" w:rsidRPr="00A84FD8" w:rsidTr="00FA5255">
        <w:tc>
          <w:tcPr>
            <w:tcW w:w="1668" w:type="dxa"/>
            <w:vMerge/>
            <w:shd w:val="clear" w:color="auto" w:fill="A6A6A6" w:themeFill="background1" w:themeFillShade="A6"/>
          </w:tcPr>
          <w:p w:rsidR="00D17AD4" w:rsidRPr="004B0CF5" w:rsidRDefault="00D17AD4" w:rsidP="00FA5255">
            <w:pPr>
              <w:rPr>
                <w:b/>
                <w:sz w:val="16"/>
                <w:szCs w:val="16"/>
              </w:rPr>
            </w:pPr>
          </w:p>
        </w:tc>
        <w:tc>
          <w:tcPr>
            <w:tcW w:w="1275" w:type="dxa"/>
            <w:shd w:val="clear" w:color="auto" w:fill="A6A6A6" w:themeFill="background1" w:themeFillShade="A6"/>
          </w:tcPr>
          <w:p w:rsidR="00D17AD4" w:rsidRPr="00A84FD8" w:rsidRDefault="00D17AD4" w:rsidP="00FA5255">
            <w:pPr>
              <w:rPr>
                <w:sz w:val="16"/>
                <w:szCs w:val="16"/>
              </w:rPr>
            </w:pPr>
            <w:r w:rsidRPr="00A84FD8">
              <w:rPr>
                <w:sz w:val="16"/>
                <w:szCs w:val="16"/>
              </w:rPr>
              <w:t>Fremantle (2007)</w:t>
            </w:r>
          </w:p>
        </w:tc>
        <w:tc>
          <w:tcPr>
            <w:tcW w:w="1134" w:type="dxa"/>
            <w:shd w:val="clear" w:color="auto" w:fill="92D050"/>
          </w:tcPr>
          <w:p w:rsidR="00D17AD4" w:rsidRPr="00A84FD8" w:rsidRDefault="00D17AD4" w:rsidP="00FA5255">
            <w:pPr>
              <w:rPr>
                <w:sz w:val="16"/>
                <w:szCs w:val="16"/>
              </w:rPr>
            </w:pPr>
            <w:r w:rsidRPr="00A84FD8">
              <w:rPr>
                <w:sz w:val="16"/>
                <w:szCs w:val="16"/>
              </w:rPr>
              <w:t>Fremantle</w:t>
            </w:r>
            <w:r>
              <w:rPr>
                <w:sz w:val="16"/>
                <w:szCs w:val="16"/>
              </w:rPr>
              <w:t xml:space="preserve"> (2)</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39</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5</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1881</w:t>
            </w:r>
          </w:p>
        </w:tc>
        <w:tc>
          <w:tcPr>
            <w:tcW w:w="1910" w:type="dxa"/>
            <w:shd w:val="clear" w:color="auto" w:fill="A6A6A6" w:themeFill="background1" w:themeFillShade="A6"/>
          </w:tcPr>
          <w:p w:rsidR="00D17AD4" w:rsidRPr="00A84FD8" w:rsidRDefault="00D17AD4" w:rsidP="00FA5255">
            <w:pPr>
              <w:rPr>
                <w:sz w:val="16"/>
                <w:szCs w:val="16"/>
              </w:rPr>
            </w:pPr>
            <w:r w:rsidRPr="00A84FD8">
              <w:rPr>
                <w:sz w:val="16"/>
                <w:szCs w:val="16"/>
              </w:rPr>
              <w:t>Inner city - Regional Centre</w:t>
            </w:r>
          </w:p>
        </w:tc>
      </w:tr>
      <w:tr w:rsidR="00D17AD4" w:rsidRPr="00A84FD8" w:rsidTr="00FA5255">
        <w:tc>
          <w:tcPr>
            <w:tcW w:w="1668" w:type="dxa"/>
            <w:vMerge/>
            <w:shd w:val="clear" w:color="auto" w:fill="A6A6A6" w:themeFill="background1" w:themeFillShade="A6"/>
          </w:tcPr>
          <w:p w:rsidR="00D17AD4" w:rsidRPr="004B0CF5" w:rsidRDefault="00D17AD4" w:rsidP="00FA5255">
            <w:pPr>
              <w:rPr>
                <w:b/>
                <w:sz w:val="16"/>
                <w:szCs w:val="16"/>
              </w:rPr>
            </w:pPr>
          </w:p>
        </w:tc>
        <w:tc>
          <w:tcPr>
            <w:tcW w:w="1275" w:type="dxa"/>
            <w:shd w:val="clear" w:color="auto" w:fill="A6A6A6" w:themeFill="background1" w:themeFillShade="A6"/>
          </w:tcPr>
          <w:p w:rsidR="00D17AD4" w:rsidRPr="00A84FD8" w:rsidRDefault="00D17AD4" w:rsidP="00FA5255">
            <w:pPr>
              <w:rPr>
                <w:sz w:val="16"/>
                <w:szCs w:val="16"/>
              </w:rPr>
            </w:pP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North Fremantle</w:t>
            </w:r>
            <w:r>
              <w:rPr>
                <w:sz w:val="16"/>
                <w:szCs w:val="16"/>
              </w:rPr>
              <w:t xml:space="preserve"> (4)</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28</w:t>
            </w:r>
          </w:p>
        </w:tc>
        <w:tc>
          <w:tcPr>
            <w:tcW w:w="1134" w:type="dxa"/>
            <w:shd w:val="clear" w:color="auto" w:fill="A6A6A6" w:themeFill="background1" w:themeFillShade="A6"/>
          </w:tcPr>
          <w:p w:rsidR="00D17AD4" w:rsidRPr="00A84FD8" w:rsidRDefault="00D17AD4" w:rsidP="00FA5255">
            <w:pPr>
              <w:rPr>
                <w:sz w:val="16"/>
                <w:szCs w:val="16"/>
              </w:rPr>
            </w:pPr>
            <w:r w:rsidRPr="00A84FD8">
              <w:rPr>
                <w:sz w:val="16"/>
                <w:szCs w:val="16"/>
              </w:rPr>
              <w:t>8</w:t>
            </w:r>
          </w:p>
        </w:tc>
        <w:tc>
          <w:tcPr>
            <w:tcW w:w="993" w:type="dxa"/>
            <w:shd w:val="clear" w:color="auto" w:fill="00B050"/>
          </w:tcPr>
          <w:p w:rsidR="00D17AD4" w:rsidRPr="00A84FD8" w:rsidRDefault="00D17AD4" w:rsidP="00FA5255">
            <w:pPr>
              <w:rPr>
                <w:sz w:val="16"/>
                <w:szCs w:val="16"/>
              </w:rPr>
            </w:pPr>
            <w:r>
              <w:rPr>
                <w:sz w:val="16"/>
                <w:szCs w:val="16"/>
              </w:rPr>
              <w:t>Yes</w:t>
            </w:r>
          </w:p>
        </w:tc>
        <w:tc>
          <w:tcPr>
            <w:tcW w:w="850" w:type="dxa"/>
            <w:shd w:val="clear" w:color="auto" w:fill="A6A6A6" w:themeFill="background1" w:themeFillShade="A6"/>
          </w:tcPr>
          <w:p w:rsidR="00D17AD4" w:rsidRPr="00A84FD8" w:rsidRDefault="00D17AD4" w:rsidP="00FA5255">
            <w:pPr>
              <w:rPr>
                <w:sz w:val="16"/>
                <w:szCs w:val="16"/>
              </w:rPr>
            </w:pPr>
            <w:r w:rsidRPr="00A84FD8">
              <w:rPr>
                <w:sz w:val="16"/>
                <w:szCs w:val="16"/>
              </w:rPr>
              <w:t>1881</w:t>
            </w:r>
          </w:p>
        </w:tc>
        <w:tc>
          <w:tcPr>
            <w:tcW w:w="1910" w:type="dxa"/>
            <w:shd w:val="clear" w:color="auto" w:fill="A6A6A6" w:themeFill="background1" w:themeFillShade="A6"/>
          </w:tcPr>
          <w:p w:rsidR="00D17AD4" w:rsidRDefault="00D17AD4" w:rsidP="00FA5255">
            <w:pPr>
              <w:rPr>
                <w:sz w:val="16"/>
                <w:szCs w:val="16"/>
              </w:rPr>
            </w:pPr>
            <w:r w:rsidRPr="00A84FD8">
              <w:rPr>
                <w:sz w:val="16"/>
                <w:szCs w:val="16"/>
              </w:rPr>
              <w:t>Inner suburb</w:t>
            </w:r>
          </w:p>
          <w:p w:rsidR="0032167D" w:rsidRPr="00A84FD8" w:rsidRDefault="0032167D" w:rsidP="00FA5255">
            <w:pPr>
              <w:rPr>
                <w:sz w:val="16"/>
                <w:szCs w:val="16"/>
              </w:rPr>
            </w:pPr>
            <w:r>
              <w:rPr>
                <w:sz w:val="16"/>
                <w:szCs w:val="16"/>
              </w:rPr>
              <w:t>Landcorp involvement</w:t>
            </w:r>
          </w:p>
        </w:tc>
      </w:tr>
    </w:tbl>
    <w:p w:rsidR="005D0A86" w:rsidRPr="005D0A86" w:rsidRDefault="00D17AD4" w:rsidP="005D0A86">
      <w:pPr>
        <w:rPr>
          <w:sz w:val="16"/>
          <w:szCs w:val="16"/>
        </w:rPr>
      </w:pPr>
      <w:r w:rsidRPr="00A84FD8">
        <w:rPr>
          <w:sz w:val="16"/>
          <w:szCs w:val="16"/>
        </w:rPr>
        <w:t>Notes:</w:t>
      </w:r>
      <w:r w:rsidR="0032167D">
        <w:rPr>
          <w:sz w:val="16"/>
          <w:szCs w:val="16"/>
        </w:rPr>
        <w:t xml:space="preserve"> TPS</w:t>
      </w:r>
      <w:r w:rsidR="0032167D" w:rsidRPr="005D0A86">
        <w:rPr>
          <w:sz w:val="16"/>
          <w:szCs w:val="16"/>
        </w:rPr>
        <w:t xml:space="preserve"> </w:t>
      </w:r>
      <w:r w:rsidR="0032167D">
        <w:rPr>
          <w:sz w:val="16"/>
          <w:szCs w:val="16"/>
        </w:rPr>
        <w:t>r</w:t>
      </w:r>
      <w:r w:rsidR="005D0A86" w:rsidRPr="005D0A86">
        <w:rPr>
          <w:sz w:val="16"/>
          <w:szCs w:val="16"/>
        </w:rPr>
        <w:t>esidential land zoning</w:t>
      </w:r>
      <w:r w:rsidR="005D0A86">
        <w:rPr>
          <w:sz w:val="16"/>
          <w:szCs w:val="16"/>
        </w:rPr>
        <w:t xml:space="preserve"> uses </w:t>
      </w:r>
      <w:r w:rsidR="005D0A86" w:rsidRPr="005D0A86">
        <w:rPr>
          <w:sz w:val="16"/>
          <w:szCs w:val="16"/>
        </w:rPr>
        <w:t>an ‘R Code’ to give an indicative residential density yield for that land parcel</w:t>
      </w:r>
      <w:r w:rsidR="0032167D">
        <w:rPr>
          <w:sz w:val="16"/>
          <w:szCs w:val="16"/>
        </w:rPr>
        <w:t xml:space="preserve"> -</w:t>
      </w:r>
      <w:r w:rsidR="005D0A86" w:rsidRPr="005D0A86">
        <w:rPr>
          <w:sz w:val="16"/>
          <w:szCs w:val="16"/>
        </w:rPr>
        <w:t xml:space="preserve">  </w:t>
      </w:r>
      <w:r w:rsidR="0032167D">
        <w:rPr>
          <w:sz w:val="16"/>
          <w:szCs w:val="16"/>
        </w:rPr>
        <w:t>Eg.</w:t>
      </w:r>
      <w:r w:rsidR="005D0A86" w:rsidRPr="005D0A86">
        <w:rPr>
          <w:sz w:val="16"/>
          <w:szCs w:val="16"/>
        </w:rPr>
        <w:t xml:space="preserve"> a one hectare parcel zoned R20 would theoretically be permitted to develop up to 20 dwellings.  In practice, due to other planning controls concerning dwelling setbacks, provision of private open space and so on, only about 75% of the given ‘density’ will be achieved if fully built.  </w:t>
      </w:r>
      <w:r w:rsidR="0032167D">
        <w:rPr>
          <w:sz w:val="16"/>
          <w:szCs w:val="16"/>
        </w:rPr>
        <w:t>As a rule of thumb</w:t>
      </w:r>
      <w:r w:rsidR="005D0A86">
        <w:rPr>
          <w:sz w:val="16"/>
          <w:szCs w:val="16"/>
        </w:rPr>
        <w:t xml:space="preserve"> </w:t>
      </w:r>
      <w:r w:rsidR="005D0A86" w:rsidRPr="005D0A86">
        <w:rPr>
          <w:sz w:val="16"/>
          <w:szCs w:val="16"/>
        </w:rPr>
        <w:t>R20 deliver a maximum o</w:t>
      </w:r>
      <w:r w:rsidR="0032167D">
        <w:rPr>
          <w:sz w:val="16"/>
          <w:szCs w:val="16"/>
        </w:rPr>
        <w:t>f 15 dwellings per hectare. The</w:t>
      </w:r>
      <w:r w:rsidR="005D0A86" w:rsidRPr="005D0A86">
        <w:rPr>
          <w:sz w:val="16"/>
          <w:szCs w:val="16"/>
        </w:rPr>
        <w:t xml:space="preserve"> audit assumed </w:t>
      </w:r>
      <w:r w:rsidR="0032167D">
        <w:rPr>
          <w:sz w:val="16"/>
          <w:szCs w:val="16"/>
        </w:rPr>
        <w:t>zoned land would</w:t>
      </w:r>
      <w:r w:rsidR="005D0A86" w:rsidRPr="005D0A86">
        <w:rPr>
          <w:sz w:val="16"/>
          <w:szCs w:val="16"/>
        </w:rPr>
        <w:t xml:space="preserve"> be developed at </w:t>
      </w:r>
      <w:r w:rsidR="0032167D">
        <w:rPr>
          <w:sz w:val="16"/>
          <w:szCs w:val="16"/>
        </w:rPr>
        <w:t xml:space="preserve">maximum density, </w:t>
      </w:r>
      <w:r w:rsidR="00BC56C5">
        <w:rPr>
          <w:sz w:val="16"/>
          <w:szCs w:val="16"/>
        </w:rPr>
        <w:t>represent</w:t>
      </w:r>
      <w:r w:rsidR="0032167D">
        <w:rPr>
          <w:sz w:val="16"/>
          <w:szCs w:val="16"/>
        </w:rPr>
        <w:t>ing</w:t>
      </w:r>
      <w:r w:rsidR="00BC56C5">
        <w:rPr>
          <w:sz w:val="16"/>
          <w:szCs w:val="16"/>
        </w:rPr>
        <w:t xml:space="preserve"> the full potential</w:t>
      </w:r>
      <w:r w:rsidR="005D0A86" w:rsidRPr="005D0A86">
        <w:rPr>
          <w:sz w:val="16"/>
          <w:szCs w:val="16"/>
        </w:rPr>
        <w:t xml:space="preserve">.  </w:t>
      </w:r>
      <w:r w:rsidR="0032167D">
        <w:rPr>
          <w:sz w:val="16"/>
          <w:szCs w:val="16"/>
        </w:rPr>
        <w:t>Where</w:t>
      </w:r>
      <w:r w:rsidR="005D0A86" w:rsidRPr="005D0A86">
        <w:rPr>
          <w:sz w:val="16"/>
          <w:szCs w:val="16"/>
        </w:rPr>
        <w:t xml:space="preserve"> the zoni</w:t>
      </w:r>
      <w:r w:rsidR="0032167D">
        <w:rPr>
          <w:sz w:val="16"/>
          <w:szCs w:val="16"/>
        </w:rPr>
        <w:t xml:space="preserve">ng map permits a ‘dual R Code’ </w:t>
      </w:r>
      <w:r w:rsidR="005D0A86" w:rsidRPr="005D0A86">
        <w:rPr>
          <w:sz w:val="16"/>
          <w:szCs w:val="16"/>
        </w:rPr>
        <w:t xml:space="preserve">the assumption the higher density </w:t>
      </w:r>
      <w:r w:rsidR="0032167D">
        <w:rPr>
          <w:sz w:val="16"/>
          <w:szCs w:val="16"/>
        </w:rPr>
        <w:t>was applied</w:t>
      </w:r>
      <w:r w:rsidR="005D0A86" w:rsidRPr="005D0A86">
        <w:rPr>
          <w:sz w:val="16"/>
          <w:szCs w:val="16"/>
        </w:rPr>
        <w:t xml:space="preserve">.  </w:t>
      </w:r>
    </w:p>
    <w:p w:rsidR="00D17AD4" w:rsidRDefault="00D17AD4" w:rsidP="00D17AD4">
      <w:pPr>
        <w:pStyle w:val="NoSpacing"/>
        <w:rPr>
          <w:sz w:val="16"/>
          <w:szCs w:val="16"/>
        </w:rPr>
      </w:pPr>
      <w:r w:rsidRPr="00A84FD8">
        <w:rPr>
          <w:sz w:val="16"/>
          <w:szCs w:val="16"/>
          <w:vertAlign w:val="superscript"/>
        </w:rPr>
        <w:t xml:space="preserve">@  </w:t>
      </w:r>
      <w:r w:rsidRPr="00A84FD8">
        <w:rPr>
          <w:sz w:val="16"/>
          <w:szCs w:val="16"/>
        </w:rPr>
        <w:t>Planning Scheme date is the latest gazetted date and includes all amendments to the scheme since gazettal is therefore the latest version at time of research audit conducted in 2007. An old date indicates the scheme has not been entirely replaced and can contain up to 100 amendments. Most schemes were amended between 2005 and the 2007 audit date.</w:t>
      </w:r>
    </w:p>
    <w:p w:rsidR="00D17AD4" w:rsidRDefault="00D17AD4" w:rsidP="00D17AD4">
      <w:pPr>
        <w:pStyle w:val="NoSpacing"/>
        <w:rPr>
          <w:sz w:val="16"/>
          <w:szCs w:val="16"/>
          <w:vertAlign w:val="superscript"/>
        </w:rPr>
      </w:pPr>
    </w:p>
    <w:p w:rsidR="00D17AD4" w:rsidRPr="00D17AD4" w:rsidRDefault="00D17AD4" w:rsidP="00D17AD4">
      <w:pPr>
        <w:pStyle w:val="NoSpacing"/>
        <w:rPr>
          <w:sz w:val="16"/>
          <w:szCs w:val="16"/>
          <w:vertAlign w:val="superscript"/>
        </w:rPr>
      </w:pPr>
      <w:r>
        <w:rPr>
          <w:sz w:val="16"/>
          <w:szCs w:val="16"/>
          <w:vertAlign w:val="superscript"/>
        </w:rPr>
        <w:t xml:space="preserve">$ </w:t>
      </w:r>
      <w:r w:rsidR="00773D5A">
        <w:rPr>
          <w:sz w:val="16"/>
          <w:szCs w:val="16"/>
        </w:rPr>
        <w:t>Activity</w:t>
      </w:r>
      <w:r w:rsidRPr="00D57BB6">
        <w:rPr>
          <w:sz w:val="16"/>
          <w:szCs w:val="16"/>
        </w:rPr>
        <w:t xml:space="preserve"> Centres </w:t>
      </w:r>
      <w:r w:rsidR="00D57BB6" w:rsidRPr="00D57BB6">
        <w:rPr>
          <w:sz w:val="16"/>
          <w:szCs w:val="16"/>
        </w:rPr>
        <w:t>Hierarchy</w:t>
      </w:r>
      <w:r w:rsidRPr="00D57BB6">
        <w:rPr>
          <w:sz w:val="16"/>
          <w:szCs w:val="16"/>
        </w:rPr>
        <w:t xml:space="preserve"> (1) Primary Centre – Perth CBD; (2) Strategic Centre; (3) </w:t>
      </w:r>
      <w:r w:rsidR="00773D5A">
        <w:rPr>
          <w:sz w:val="16"/>
          <w:szCs w:val="16"/>
        </w:rPr>
        <w:t xml:space="preserve">Secondary </w:t>
      </w:r>
      <w:r w:rsidRPr="00D57BB6">
        <w:rPr>
          <w:sz w:val="16"/>
          <w:szCs w:val="16"/>
        </w:rPr>
        <w:t>Centre</w:t>
      </w:r>
      <w:r w:rsidR="00D57BB6" w:rsidRPr="00D57BB6">
        <w:rPr>
          <w:sz w:val="16"/>
          <w:szCs w:val="16"/>
        </w:rPr>
        <w:t xml:space="preserve">; (4) </w:t>
      </w:r>
      <w:r w:rsidR="00773D5A" w:rsidRPr="00D57BB6">
        <w:rPr>
          <w:sz w:val="16"/>
          <w:szCs w:val="16"/>
        </w:rPr>
        <w:t xml:space="preserve">District </w:t>
      </w:r>
      <w:r w:rsidR="00D57BB6" w:rsidRPr="00D57BB6">
        <w:rPr>
          <w:sz w:val="16"/>
          <w:szCs w:val="16"/>
        </w:rPr>
        <w:t>Centre</w:t>
      </w:r>
    </w:p>
    <w:p w:rsidR="00D17AD4" w:rsidRPr="00A84FD8" w:rsidRDefault="00D17AD4" w:rsidP="00D17AD4">
      <w:pPr>
        <w:pStyle w:val="NoSpacing"/>
        <w:rPr>
          <w:sz w:val="16"/>
          <w:szCs w:val="16"/>
          <w:vertAlign w:val="superscript"/>
        </w:rPr>
      </w:pPr>
    </w:p>
    <w:p w:rsidR="00D17AD4" w:rsidRPr="00A84FD8" w:rsidRDefault="00D17AD4" w:rsidP="00D17AD4">
      <w:pPr>
        <w:pStyle w:val="NoSpacing"/>
        <w:rPr>
          <w:sz w:val="16"/>
          <w:szCs w:val="16"/>
        </w:rPr>
      </w:pPr>
      <w:r w:rsidRPr="00A84FD8">
        <w:rPr>
          <w:sz w:val="16"/>
          <w:szCs w:val="16"/>
          <w:vertAlign w:val="superscript"/>
        </w:rPr>
        <w:t xml:space="preserve">1 </w:t>
      </w:r>
      <w:r w:rsidRPr="00A84FD8">
        <w:rPr>
          <w:sz w:val="16"/>
          <w:szCs w:val="16"/>
        </w:rPr>
        <w:t>net density calculated as dwellings/ residential land parcel.</w:t>
      </w:r>
    </w:p>
    <w:p w:rsidR="00D17AD4" w:rsidRPr="00A84FD8" w:rsidRDefault="00D17AD4" w:rsidP="00D17AD4">
      <w:pPr>
        <w:pStyle w:val="NoSpacing"/>
        <w:rPr>
          <w:sz w:val="16"/>
          <w:szCs w:val="16"/>
          <w:vertAlign w:val="superscript"/>
        </w:rPr>
      </w:pPr>
    </w:p>
    <w:p w:rsidR="00D17AD4" w:rsidRPr="00A84FD8" w:rsidRDefault="00D17AD4" w:rsidP="00D17AD4">
      <w:pPr>
        <w:pStyle w:val="NoSpacing"/>
        <w:rPr>
          <w:sz w:val="16"/>
          <w:szCs w:val="16"/>
        </w:rPr>
      </w:pPr>
      <w:r w:rsidRPr="00A84FD8">
        <w:rPr>
          <w:sz w:val="16"/>
          <w:szCs w:val="16"/>
          <w:vertAlign w:val="superscript"/>
        </w:rPr>
        <w:t xml:space="preserve">2 </w:t>
      </w:r>
      <w:r w:rsidRPr="00A84FD8">
        <w:rPr>
          <w:sz w:val="16"/>
          <w:szCs w:val="16"/>
        </w:rPr>
        <w:t>net density calculated as dwellings/ whole precinct of 201 ha.</w:t>
      </w:r>
    </w:p>
    <w:p w:rsidR="00D17AD4" w:rsidRPr="00A84FD8" w:rsidRDefault="00D17AD4" w:rsidP="00D17AD4">
      <w:pPr>
        <w:pStyle w:val="NoSpacing"/>
        <w:rPr>
          <w:sz w:val="16"/>
          <w:szCs w:val="16"/>
          <w:vertAlign w:val="superscript"/>
        </w:rPr>
      </w:pPr>
    </w:p>
    <w:p w:rsidR="00D17AD4" w:rsidRPr="00A84FD8" w:rsidRDefault="00D17AD4" w:rsidP="00D17AD4">
      <w:pPr>
        <w:pStyle w:val="NoSpacing"/>
        <w:rPr>
          <w:sz w:val="16"/>
          <w:szCs w:val="16"/>
        </w:rPr>
      </w:pPr>
      <w:r w:rsidRPr="00A84FD8">
        <w:rPr>
          <w:sz w:val="16"/>
          <w:szCs w:val="16"/>
          <w:vertAlign w:val="superscript"/>
        </w:rPr>
        <w:t>3</w:t>
      </w:r>
      <w:r w:rsidRPr="00A84FD8">
        <w:rPr>
          <w:sz w:val="16"/>
          <w:szCs w:val="16"/>
        </w:rPr>
        <w:t xml:space="preserve"> for Planning Schemes gazetted prior to first State TOD policy compliance is assessed retrospectively against the 1988 policy.</w:t>
      </w:r>
    </w:p>
    <w:p w:rsidR="00D17AD4" w:rsidRPr="00A84FD8" w:rsidRDefault="00D17AD4" w:rsidP="00D17AD4">
      <w:pPr>
        <w:pStyle w:val="NoSpacing"/>
        <w:rPr>
          <w:sz w:val="16"/>
          <w:szCs w:val="16"/>
          <w:vertAlign w:val="superscript"/>
        </w:rPr>
      </w:pPr>
    </w:p>
    <w:p w:rsidR="00D17AD4" w:rsidRPr="00A84FD8" w:rsidRDefault="00D17AD4" w:rsidP="00D17AD4">
      <w:pPr>
        <w:pStyle w:val="NoSpacing"/>
        <w:rPr>
          <w:sz w:val="16"/>
          <w:szCs w:val="16"/>
        </w:rPr>
      </w:pPr>
      <w:r w:rsidRPr="00A84FD8">
        <w:rPr>
          <w:sz w:val="16"/>
          <w:szCs w:val="16"/>
          <w:vertAlign w:val="superscript"/>
        </w:rPr>
        <w:t xml:space="preserve"># </w:t>
      </w:r>
      <w:r>
        <w:rPr>
          <w:sz w:val="16"/>
          <w:szCs w:val="16"/>
        </w:rPr>
        <w:t>Conformance</w:t>
      </w:r>
      <w:r w:rsidRPr="00A84FD8">
        <w:rPr>
          <w:sz w:val="16"/>
          <w:szCs w:val="16"/>
        </w:rPr>
        <w:t xml:space="preserve"> assessed against density</w:t>
      </w:r>
      <w:r w:rsidRPr="00A84FD8">
        <w:rPr>
          <w:sz w:val="16"/>
          <w:szCs w:val="16"/>
          <w:vertAlign w:val="superscript"/>
        </w:rPr>
        <w:t xml:space="preserve"> </w:t>
      </w:r>
      <w:r w:rsidRPr="00A84FD8">
        <w:rPr>
          <w:sz w:val="16"/>
          <w:szCs w:val="16"/>
        </w:rPr>
        <w:t>figure for 1988 policy given none specified in 1999 policy.</w:t>
      </w:r>
    </w:p>
    <w:p w:rsidR="00D17AD4" w:rsidRPr="00A84FD8" w:rsidRDefault="00D17AD4" w:rsidP="00D17AD4">
      <w:pPr>
        <w:pStyle w:val="NoSpacing"/>
        <w:rPr>
          <w:sz w:val="16"/>
          <w:szCs w:val="16"/>
          <w:vertAlign w:val="superscript"/>
        </w:rPr>
      </w:pPr>
    </w:p>
    <w:p w:rsidR="00D17AD4" w:rsidRDefault="00D17AD4" w:rsidP="005D0A86">
      <w:pPr>
        <w:pStyle w:val="NoSpacing"/>
        <w:rPr>
          <w:sz w:val="16"/>
          <w:szCs w:val="16"/>
        </w:rPr>
      </w:pPr>
      <w:r w:rsidRPr="00A84FD8">
        <w:rPr>
          <w:sz w:val="16"/>
          <w:szCs w:val="16"/>
          <w:vertAlign w:val="superscript"/>
        </w:rPr>
        <w:t xml:space="preserve">* </w:t>
      </w:r>
      <w:r w:rsidRPr="00A84FD8">
        <w:rPr>
          <w:sz w:val="16"/>
          <w:szCs w:val="16"/>
        </w:rPr>
        <w:t>Station precinct straddles local authorities of Melville and South Perth</w:t>
      </w:r>
      <w:r w:rsidR="005D0A86">
        <w:rPr>
          <w:sz w:val="16"/>
          <w:szCs w:val="16"/>
        </w:rPr>
        <w:t>.</w:t>
      </w:r>
    </w:p>
    <w:p w:rsidR="00501F5A" w:rsidRDefault="00501F5A">
      <w:pPr>
        <w:rPr>
          <w:sz w:val="16"/>
          <w:szCs w:val="16"/>
        </w:rPr>
      </w:pPr>
      <w:r>
        <w:rPr>
          <w:sz w:val="16"/>
          <w:szCs w:val="16"/>
        </w:rPr>
        <w:br w:type="page"/>
      </w:r>
    </w:p>
    <w:p w:rsidR="00501F5A" w:rsidRPr="00A6437E" w:rsidRDefault="00501F5A" w:rsidP="00501F5A">
      <w:pPr>
        <w:jc w:val="both"/>
        <w:rPr>
          <w:sz w:val="24"/>
          <w:szCs w:val="24"/>
        </w:rPr>
      </w:pPr>
      <w:r w:rsidRPr="00501F5A">
        <w:rPr>
          <w:b/>
          <w:sz w:val="24"/>
          <w:szCs w:val="24"/>
        </w:rPr>
        <w:lastRenderedPageBreak/>
        <w:t>Photograph 1: Subiaco Station precinct developed using an RDA model</w:t>
      </w:r>
      <w:r w:rsidR="00A6437E">
        <w:rPr>
          <w:b/>
          <w:sz w:val="24"/>
          <w:szCs w:val="24"/>
        </w:rPr>
        <w:t xml:space="preserve"> </w:t>
      </w:r>
      <w:r w:rsidR="00A6437E">
        <w:rPr>
          <w:sz w:val="24"/>
          <w:szCs w:val="24"/>
        </w:rPr>
        <w:t>(station in background centre, mixed use residential, retail, cafes shown).</w:t>
      </w:r>
    </w:p>
    <w:p w:rsidR="00501F5A" w:rsidRDefault="00A6437E" w:rsidP="00501F5A">
      <w:pPr>
        <w:jc w:val="both"/>
        <w:rPr>
          <w:b/>
          <w:sz w:val="24"/>
          <w:szCs w:val="24"/>
        </w:rPr>
      </w:pPr>
      <w:r>
        <w:rPr>
          <w:b/>
          <w:noProof/>
          <w:sz w:val="24"/>
          <w:szCs w:val="24"/>
          <w:lang w:eastAsia="en-AU"/>
        </w:rPr>
        <w:drawing>
          <wp:inline distT="0" distB="0" distL="0" distR="0">
            <wp:extent cx="5307806" cy="3529303"/>
            <wp:effectExtent l="0" t="0" r="7620" b="0"/>
            <wp:docPr id="4" name="Picture 4" descr="C:\Users\181670h\Documents\PHOTOS\subiaco\IMGP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1670h\Documents\PHOTOS\subiaco\IMGP8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4282" cy="3526960"/>
                    </a:xfrm>
                    <a:prstGeom prst="rect">
                      <a:avLst/>
                    </a:prstGeom>
                    <a:noFill/>
                    <a:ln>
                      <a:noFill/>
                    </a:ln>
                  </pic:spPr>
                </pic:pic>
              </a:graphicData>
            </a:graphic>
          </wp:inline>
        </w:drawing>
      </w:r>
    </w:p>
    <w:p w:rsidR="00501F5A" w:rsidRPr="00501F5A" w:rsidRDefault="00501F5A" w:rsidP="00501F5A">
      <w:pPr>
        <w:jc w:val="both"/>
        <w:rPr>
          <w:b/>
          <w:sz w:val="24"/>
          <w:szCs w:val="24"/>
        </w:rPr>
      </w:pPr>
    </w:p>
    <w:p w:rsidR="00501F5A" w:rsidRDefault="00501F5A" w:rsidP="00501F5A">
      <w:pPr>
        <w:jc w:val="both"/>
        <w:rPr>
          <w:b/>
          <w:sz w:val="24"/>
          <w:szCs w:val="24"/>
        </w:rPr>
      </w:pPr>
      <w:r w:rsidRPr="00501F5A">
        <w:rPr>
          <w:b/>
          <w:sz w:val="24"/>
          <w:szCs w:val="24"/>
        </w:rPr>
        <w:t>Photograph 2: Cockburn Central Station precinct developed using a public sector development agency model</w:t>
      </w:r>
      <w:r>
        <w:rPr>
          <w:b/>
          <w:sz w:val="24"/>
          <w:szCs w:val="24"/>
        </w:rPr>
        <w:t xml:space="preserve"> </w:t>
      </w:r>
      <w:r w:rsidRPr="00A6437E">
        <w:rPr>
          <w:sz w:val="24"/>
          <w:szCs w:val="24"/>
        </w:rPr>
        <w:t>(</w:t>
      </w:r>
      <w:r w:rsidR="00A6437E" w:rsidRPr="00A6437E">
        <w:rPr>
          <w:sz w:val="24"/>
          <w:szCs w:val="24"/>
        </w:rPr>
        <w:t>station, bus interchange and car park in background right, apartments under construction, left)</w:t>
      </w:r>
    </w:p>
    <w:p w:rsidR="00501F5A" w:rsidRDefault="00501F5A" w:rsidP="00501F5A">
      <w:pPr>
        <w:jc w:val="both"/>
        <w:rPr>
          <w:b/>
          <w:sz w:val="24"/>
          <w:szCs w:val="24"/>
        </w:rPr>
      </w:pPr>
      <w:r>
        <w:rPr>
          <w:b/>
          <w:noProof/>
          <w:sz w:val="24"/>
          <w:szCs w:val="24"/>
          <w:lang w:eastAsia="en-AU"/>
        </w:rPr>
        <w:drawing>
          <wp:inline distT="0" distB="0" distL="0" distR="0">
            <wp:extent cx="5993606" cy="3985310"/>
            <wp:effectExtent l="0" t="0" r="7620" b="0"/>
            <wp:docPr id="1" name="Picture 1" descr="C:\Users\181670h\Documents\PHOTOS\cockburn central\IMGP8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1670h\Documents\PHOTOS\cockburn central\IMGP848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89627" cy="3982664"/>
                    </a:xfrm>
                    <a:prstGeom prst="rect">
                      <a:avLst/>
                    </a:prstGeom>
                    <a:noFill/>
                    <a:ln>
                      <a:noFill/>
                    </a:ln>
                  </pic:spPr>
                </pic:pic>
              </a:graphicData>
            </a:graphic>
          </wp:inline>
        </w:drawing>
      </w:r>
    </w:p>
    <w:p w:rsidR="00501F5A" w:rsidRDefault="00501F5A" w:rsidP="00501F5A">
      <w:pPr>
        <w:jc w:val="both"/>
        <w:rPr>
          <w:b/>
          <w:sz w:val="24"/>
          <w:szCs w:val="24"/>
        </w:rPr>
      </w:pPr>
    </w:p>
    <w:p w:rsidR="00501F5A" w:rsidRPr="00FF0AA0" w:rsidRDefault="00501F5A" w:rsidP="00501F5A">
      <w:pPr>
        <w:jc w:val="both"/>
        <w:rPr>
          <w:sz w:val="24"/>
          <w:szCs w:val="24"/>
        </w:rPr>
      </w:pPr>
      <w:r w:rsidRPr="00501F5A">
        <w:rPr>
          <w:b/>
          <w:sz w:val="24"/>
          <w:szCs w:val="24"/>
        </w:rPr>
        <w:t xml:space="preserve">Photograph 3: </w:t>
      </w:r>
      <w:r w:rsidR="00FF0AA0">
        <w:rPr>
          <w:b/>
          <w:sz w:val="24"/>
          <w:szCs w:val="24"/>
        </w:rPr>
        <w:t>Bayswater</w:t>
      </w:r>
      <w:r w:rsidRPr="00501F5A">
        <w:rPr>
          <w:b/>
          <w:sz w:val="24"/>
          <w:szCs w:val="24"/>
        </w:rPr>
        <w:t xml:space="preserve"> Station precinct governed by a conventional planning model</w:t>
      </w:r>
      <w:r w:rsidR="00FF0AA0">
        <w:rPr>
          <w:b/>
          <w:sz w:val="24"/>
          <w:szCs w:val="24"/>
        </w:rPr>
        <w:t xml:space="preserve"> </w:t>
      </w:r>
      <w:r w:rsidR="00FF0AA0">
        <w:rPr>
          <w:sz w:val="24"/>
          <w:szCs w:val="24"/>
        </w:rPr>
        <w:t>(station to the right - off picture)</w:t>
      </w:r>
    </w:p>
    <w:p w:rsidR="00501F5A" w:rsidRPr="00A84FD8" w:rsidRDefault="00FF0AA0" w:rsidP="005D0A86">
      <w:pPr>
        <w:pStyle w:val="NoSpacing"/>
        <w:rPr>
          <w:sz w:val="16"/>
          <w:szCs w:val="16"/>
        </w:rPr>
      </w:pPr>
      <w:r>
        <w:rPr>
          <w:noProof/>
          <w:sz w:val="16"/>
          <w:szCs w:val="16"/>
          <w:lang w:eastAsia="en-AU"/>
        </w:rPr>
        <w:drawing>
          <wp:inline distT="0" distB="0" distL="0" distR="0">
            <wp:extent cx="4107815" cy="30861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7815" cy="3086100"/>
                    </a:xfrm>
                    <a:prstGeom prst="rect">
                      <a:avLst/>
                    </a:prstGeom>
                    <a:noFill/>
                    <a:ln>
                      <a:noFill/>
                    </a:ln>
                  </pic:spPr>
                </pic:pic>
              </a:graphicData>
            </a:graphic>
          </wp:inline>
        </w:drawing>
      </w:r>
    </w:p>
    <w:sectPr w:rsidR="00501F5A" w:rsidRPr="00A84FD8" w:rsidSect="000D4B79">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863" w:rsidRDefault="00553863" w:rsidP="0037133A">
      <w:pPr>
        <w:spacing w:after="0" w:line="240" w:lineRule="auto"/>
      </w:pPr>
      <w:r>
        <w:separator/>
      </w:r>
    </w:p>
  </w:endnote>
  <w:endnote w:type="continuationSeparator" w:id="0">
    <w:p w:rsidR="00553863" w:rsidRDefault="00553863" w:rsidP="0037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1">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0F" w:rsidRDefault="00616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652813"/>
      <w:docPartObj>
        <w:docPartGallery w:val="Page Numbers (Bottom of Page)"/>
        <w:docPartUnique/>
      </w:docPartObj>
    </w:sdtPr>
    <w:sdtEndPr>
      <w:rPr>
        <w:noProof/>
      </w:rPr>
    </w:sdtEndPr>
    <w:sdtContent>
      <w:p w:rsidR="00FE6F4F" w:rsidRDefault="00FE6F4F">
        <w:pPr>
          <w:pStyle w:val="Footer"/>
          <w:jc w:val="right"/>
        </w:pPr>
        <w:r>
          <w:fldChar w:fldCharType="begin"/>
        </w:r>
        <w:r>
          <w:instrText xml:space="preserve"> PAGE   \* MERGEFORMAT </w:instrText>
        </w:r>
        <w:r>
          <w:fldChar w:fldCharType="separate"/>
        </w:r>
        <w:r w:rsidR="0061660F">
          <w:rPr>
            <w:noProof/>
          </w:rPr>
          <w:t>1</w:t>
        </w:r>
        <w:r>
          <w:rPr>
            <w:noProof/>
          </w:rPr>
          <w:fldChar w:fldCharType="end"/>
        </w:r>
      </w:p>
    </w:sdtContent>
  </w:sdt>
  <w:p w:rsidR="00FE6F4F" w:rsidRDefault="00FE6F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0F" w:rsidRDefault="00616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863" w:rsidRDefault="00553863" w:rsidP="0037133A">
      <w:pPr>
        <w:spacing w:after="0" w:line="240" w:lineRule="auto"/>
      </w:pPr>
      <w:r>
        <w:separator/>
      </w:r>
    </w:p>
  </w:footnote>
  <w:footnote w:type="continuationSeparator" w:id="0">
    <w:p w:rsidR="00553863" w:rsidRDefault="00553863" w:rsidP="0037133A">
      <w:pPr>
        <w:spacing w:after="0" w:line="240" w:lineRule="auto"/>
      </w:pPr>
      <w:r>
        <w:continuationSeparator/>
      </w:r>
    </w:p>
  </w:footnote>
  <w:footnote w:id="1">
    <w:p w:rsidR="00E81B43" w:rsidRDefault="00E81B43">
      <w:pPr>
        <w:pStyle w:val="FootnoteText"/>
      </w:pPr>
      <w:r>
        <w:rPr>
          <w:rStyle w:val="FootnoteReference"/>
        </w:rPr>
        <w:footnoteRef/>
      </w:r>
      <w:r>
        <w:t xml:space="preserve"> </w:t>
      </w:r>
      <w:r w:rsidRPr="00E81B43">
        <w:t>The State Sustainability Strategy (Government of Western Australia, 2003); a new metropolitan planning strategy (WAPC, 2004); a statutory policy, Statement of Planning Policy 3 Urban Growth and Settlements</w:t>
      </w:r>
      <w:r w:rsidRPr="00E81B43">
        <w:rPr>
          <w:i/>
        </w:rPr>
        <w:t xml:space="preserve"> </w:t>
      </w:r>
      <w:r w:rsidRPr="00E81B43">
        <w:t>(WAPC 2006b).</w:t>
      </w:r>
    </w:p>
  </w:footnote>
  <w:footnote w:id="2">
    <w:p w:rsidR="00FE6F4F" w:rsidRDefault="00FE6F4F">
      <w:pPr>
        <w:pStyle w:val="FootnoteText"/>
      </w:pPr>
      <w:r>
        <w:rPr>
          <w:rStyle w:val="FootnoteReference"/>
        </w:rPr>
        <w:footnoteRef/>
      </w:r>
      <w:r>
        <w:t xml:space="preserve"> </w:t>
      </w:r>
      <w:r w:rsidRPr="00183B7C">
        <w:t>The State government has powers to establish a Redevelopment Authority in a designated area.  In such places, local planning powers are suspended with the State government playing a greater role in both planning policy and in directly facilitating development.</w:t>
      </w:r>
    </w:p>
  </w:footnote>
  <w:footnote w:id="3">
    <w:p w:rsidR="00FE6F4F" w:rsidRDefault="00FE6F4F" w:rsidP="006601C0">
      <w:pPr>
        <w:autoSpaceDE w:val="0"/>
        <w:autoSpaceDN w:val="0"/>
        <w:adjustRightInd w:val="0"/>
      </w:pPr>
      <w:r>
        <w:rPr>
          <w:rStyle w:val="FootnoteReference"/>
        </w:rPr>
        <w:footnoteRef/>
      </w:r>
      <w:r>
        <w:t xml:space="preserve"> See </w:t>
      </w:r>
      <w:r>
        <w:rPr>
          <w:rFonts w:ascii="TimesNewRomanPSMT+1" w:hAnsi="TimesNewRomanPSMT+1" w:cs="TimesNewRomanPSMT+1"/>
        </w:rPr>
        <w:t xml:space="preserve">Headicar P (2004) citing </w:t>
      </w:r>
      <w:r w:rsidR="00AA1B26">
        <w:rPr>
          <w:rFonts w:ascii="TimesNewRomanPSMT+1" w:hAnsi="TimesNewRomanPSMT+1" w:cs="TimesNewRomanPSMT+1"/>
        </w:rPr>
        <w:t>research</w:t>
      </w:r>
      <w:r>
        <w:rPr>
          <w:rFonts w:ascii="TimesNewRomanPSMT+1" w:hAnsi="TimesNewRomanPSMT+1" w:cs="TimesNewRomanPSMT+1"/>
        </w:rPr>
        <w:t xml:space="preserve"> carried out by this author and a team in the UK.  This holds true in Australia – in 2000 an Enquiry by Design for Claremont (WAPC, 2001) started a process of planning for the development of mixed use higher density development adjacent to a railway station – the development was opened for business in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0F" w:rsidRDefault="006166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0F" w:rsidRDefault="006166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0F" w:rsidRDefault="006166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994"/>
    <w:multiLevelType w:val="hybridMultilevel"/>
    <w:tmpl w:val="DF3EF5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10341F5"/>
    <w:multiLevelType w:val="hybridMultilevel"/>
    <w:tmpl w:val="05FE2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A066669"/>
    <w:multiLevelType w:val="hybridMultilevel"/>
    <w:tmpl w:val="44FCDEB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256"/>
    <w:rsid w:val="00006450"/>
    <w:rsid w:val="00014675"/>
    <w:rsid w:val="00033B82"/>
    <w:rsid w:val="000420F0"/>
    <w:rsid w:val="00055FE3"/>
    <w:rsid w:val="000A1956"/>
    <w:rsid w:val="000A1ED1"/>
    <w:rsid w:val="000A3996"/>
    <w:rsid w:val="000C56BD"/>
    <w:rsid w:val="000D4B79"/>
    <w:rsid w:val="000E5A15"/>
    <w:rsid w:val="000F1907"/>
    <w:rsid w:val="00100958"/>
    <w:rsid w:val="00102875"/>
    <w:rsid w:val="00104AB6"/>
    <w:rsid w:val="001170F8"/>
    <w:rsid w:val="00125EE6"/>
    <w:rsid w:val="00136C8A"/>
    <w:rsid w:val="00150314"/>
    <w:rsid w:val="00154ED6"/>
    <w:rsid w:val="00156D57"/>
    <w:rsid w:val="00157A08"/>
    <w:rsid w:val="00161CE4"/>
    <w:rsid w:val="00172D22"/>
    <w:rsid w:val="00183B7C"/>
    <w:rsid w:val="001848EB"/>
    <w:rsid w:val="00194895"/>
    <w:rsid w:val="001A22DC"/>
    <w:rsid w:val="001A42E0"/>
    <w:rsid w:val="001B58EC"/>
    <w:rsid w:val="001D5F1B"/>
    <w:rsid w:val="001E0BC2"/>
    <w:rsid w:val="001E1848"/>
    <w:rsid w:val="001E3F81"/>
    <w:rsid w:val="00204C7D"/>
    <w:rsid w:val="002052DB"/>
    <w:rsid w:val="00233921"/>
    <w:rsid w:val="00235204"/>
    <w:rsid w:val="00242AEC"/>
    <w:rsid w:val="00252C7C"/>
    <w:rsid w:val="002550B4"/>
    <w:rsid w:val="00264BAB"/>
    <w:rsid w:val="002812F2"/>
    <w:rsid w:val="002943FA"/>
    <w:rsid w:val="002A0844"/>
    <w:rsid w:val="002A5CC1"/>
    <w:rsid w:val="002B23B8"/>
    <w:rsid w:val="002B7076"/>
    <w:rsid w:val="002C40D5"/>
    <w:rsid w:val="002F0B81"/>
    <w:rsid w:val="002F2704"/>
    <w:rsid w:val="00312ECD"/>
    <w:rsid w:val="003131FB"/>
    <w:rsid w:val="00314508"/>
    <w:rsid w:val="00320785"/>
    <w:rsid w:val="0032167D"/>
    <w:rsid w:val="00335ED9"/>
    <w:rsid w:val="003609B9"/>
    <w:rsid w:val="00362564"/>
    <w:rsid w:val="0036533C"/>
    <w:rsid w:val="0036646D"/>
    <w:rsid w:val="0037133A"/>
    <w:rsid w:val="003745CA"/>
    <w:rsid w:val="00377509"/>
    <w:rsid w:val="003B0E6C"/>
    <w:rsid w:val="003B6432"/>
    <w:rsid w:val="003E26CF"/>
    <w:rsid w:val="003E440F"/>
    <w:rsid w:val="003E5732"/>
    <w:rsid w:val="003F264E"/>
    <w:rsid w:val="003F7537"/>
    <w:rsid w:val="0041647D"/>
    <w:rsid w:val="00424EC9"/>
    <w:rsid w:val="00426D31"/>
    <w:rsid w:val="004310B2"/>
    <w:rsid w:val="004365D8"/>
    <w:rsid w:val="00440B77"/>
    <w:rsid w:val="00445168"/>
    <w:rsid w:val="004615C7"/>
    <w:rsid w:val="00461F0D"/>
    <w:rsid w:val="00466F13"/>
    <w:rsid w:val="004A0A49"/>
    <w:rsid w:val="004B06E3"/>
    <w:rsid w:val="004D0D12"/>
    <w:rsid w:val="004E6683"/>
    <w:rsid w:val="004F136A"/>
    <w:rsid w:val="004F7176"/>
    <w:rsid w:val="00501F5A"/>
    <w:rsid w:val="00505DDD"/>
    <w:rsid w:val="00523AC6"/>
    <w:rsid w:val="00527977"/>
    <w:rsid w:val="00530C9D"/>
    <w:rsid w:val="00543AC1"/>
    <w:rsid w:val="00545DAC"/>
    <w:rsid w:val="00547F77"/>
    <w:rsid w:val="00551817"/>
    <w:rsid w:val="005536AE"/>
    <w:rsid w:val="00553863"/>
    <w:rsid w:val="00556AA8"/>
    <w:rsid w:val="0057234A"/>
    <w:rsid w:val="00582E2C"/>
    <w:rsid w:val="00594600"/>
    <w:rsid w:val="005A7A81"/>
    <w:rsid w:val="005B72DC"/>
    <w:rsid w:val="005D0A86"/>
    <w:rsid w:val="006015F7"/>
    <w:rsid w:val="00604739"/>
    <w:rsid w:val="00610809"/>
    <w:rsid w:val="00611CC0"/>
    <w:rsid w:val="0061660F"/>
    <w:rsid w:val="00624EF4"/>
    <w:rsid w:val="00633054"/>
    <w:rsid w:val="00643046"/>
    <w:rsid w:val="006440F6"/>
    <w:rsid w:val="006561A9"/>
    <w:rsid w:val="006601C0"/>
    <w:rsid w:val="00671005"/>
    <w:rsid w:val="00685876"/>
    <w:rsid w:val="00685994"/>
    <w:rsid w:val="006A4574"/>
    <w:rsid w:val="006B029A"/>
    <w:rsid w:val="006B6FAE"/>
    <w:rsid w:val="006B78AD"/>
    <w:rsid w:val="006C3A14"/>
    <w:rsid w:val="006D4397"/>
    <w:rsid w:val="006E602E"/>
    <w:rsid w:val="006E6E25"/>
    <w:rsid w:val="006E7EED"/>
    <w:rsid w:val="00707C3F"/>
    <w:rsid w:val="0071011D"/>
    <w:rsid w:val="00712475"/>
    <w:rsid w:val="00721A60"/>
    <w:rsid w:val="007233D3"/>
    <w:rsid w:val="007310F7"/>
    <w:rsid w:val="00736BC4"/>
    <w:rsid w:val="007523EC"/>
    <w:rsid w:val="00753724"/>
    <w:rsid w:val="007639F9"/>
    <w:rsid w:val="007705F3"/>
    <w:rsid w:val="007708BC"/>
    <w:rsid w:val="0077156C"/>
    <w:rsid w:val="00773D5A"/>
    <w:rsid w:val="0077553B"/>
    <w:rsid w:val="0078083B"/>
    <w:rsid w:val="00794CDB"/>
    <w:rsid w:val="007A71BD"/>
    <w:rsid w:val="007B2E7B"/>
    <w:rsid w:val="007C283F"/>
    <w:rsid w:val="007C2CBD"/>
    <w:rsid w:val="007D31D2"/>
    <w:rsid w:val="00876404"/>
    <w:rsid w:val="00896EAA"/>
    <w:rsid w:val="008B5C17"/>
    <w:rsid w:val="008B7091"/>
    <w:rsid w:val="008C3BED"/>
    <w:rsid w:val="008D277A"/>
    <w:rsid w:val="008D348A"/>
    <w:rsid w:val="008D589F"/>
    <w:rsid w:val="008E545C"/>
    <w:rsid w:val="008F39BF"/>
    <w:rsid w:val="008F48C5"/>
    <w:rsid w:val="00913981"/>
    <w:rsid w:val="0091516F"/>
    <w:rsid w:val="00920C5E"/>
    <w:rsid w:val="009224A8"/>
    <w:rsid w:val="00931EAA"/>
    <w:rsid w:val="009458B1"/>
    <w:rsid w:val="00955105"/>
    <w:rsid w:val="00977EDB"/>
    <w:rsid w:val="00982870"/>
    <w:rsid w:val="009A7B7E"/>
    <w:rsid w:val="009B4191"/>
    <w:rsid w:val="009D1806"/>
    <w:rsid w:val="009D769D"/>
    <w:rsid w:val="009E11C6"/>
    <w:rsid w:val="009F6E26"/>
    <w:rsid w:val="00A02B04"/>
    <w:rsid w:val="00A12EEC"/>
    <w:rsid w:val="00A1439B"/>
    <w:rsid w:val="00A323D1"/>
    <w:rsid w:val="00A33BAD"/>
    <w:rsid w:val="00A52740"/>
    <w:rsid w:val="00A60C04"/>
    <w:rsid w:val="00A61E62"/>
    <w:rsid w:val="00A6437E"/>
    <w:rsid w:val="00A71BE4"/>
    <w:rsid w:val="00A71F66"/>
    <w:rsid w:val="00A73079"/>
    <w:rsid w:val="00A82B47"/>
    <w:rsid w:val="00AA1B26"/>
    <w:rsid w:val="00AA51F4"/>
    <w:rsid w:val="00AB515A"/>
    <w:rsid w:val="00B018D7"/>
    <w:rsid w:val="00B238C2"/>
    <w:rsid w:val="00B439B7"/>
    <w:rsid w:val="00B552AE"/>
    <w:rsid w:val="00B708AD"/>
    <w:rsid w:val="00B72014"/>
    <w:rsid w:val="00B800FB"/>
    <w:rsid w:val="00B84612"/>
    <w:rsid w:val="00B911EC"/>
    <w:rsid w:val="00BA725D"/>
    <w:rsid w:val="00BC4B48"/>
    <w:rsid w:val="00BC513F"/>
    <w:rsid w:val="00BC56C5"/>
    <w:rsid w:val="00BD6572"/>
    <w:rsid w:val="00BE232A"/>
    <w:rsid w:val="00C03897"/>
    <w:rsid w:val="00C11410"/>
    <w:rsid w:val="00C2536C"/>
    <w:rsid w:val="00C25C55"/>
    <w:rsid w:val="00C2636D"/>
    <w:rsid w:val="00C30486"/>
    <w:rsid w:val="00C3356E"/>
    <w:rsid w:val="00C40BBB"/>
    <w:rsid w:val="00C44DFF"/>
    <w:rsid w:val="00C46385"/>
    <w:rsid w:val="00C543DE"/>
    <w:rsid w:val="00C61A87"/>
    <w:rsid w:val="00C63DB9"/>
    <w:rsid w:val="00C73364"/>
    <w:rsid w:val="00C7640D"/>
    <w:rsid w:val="00C9268E"/>
    <w:rsid w:val="00C96AD8"/>
    <w:rsid w:val="00CC1423"/>
    <w:rsid w:val="00CC3671"/>
    <w:rsid w:val="00CD3107"/>
    <w:rsid w:val="00D108A3"/>
    <w:rsid w:val="00D1128C"/>
    <w:rsid w:val="00D17AD4"/>
    <w:rsid w:val="00D2760F"/>
    <w:rsid w:val="00D30C8E"/>
    <w:rsid w:val="00D57BB6"/>
    <w:rsid w:val="00D66FA4"/>
    <w:rsid w:val="00D8004E"/>
    <w:rsid w:val="00D945E7"/>
    <w:rsid w:val="00DC2712"/>
    <w:rsid w:val="00DD5155"/>
    <w:rsid w:val="00DD6B25"/>
    <w:rsid w:val="00E02CA6"/>
    <w:rsid w:val="00E113CC"/>
    <w:rsid w:val="00E27BBA"/>
    <w:rsid w:val="00E53C16"/>
    <w:rsid w:val="00E563CA"/>
    <w:rsid w:val="00E72734"/>
    <w:rsid w:val="00E762BE"/>
    <w:rsid w:val="00E81B43"/>
    <w:rsid w:val="00E83B5A"/>
    <w:rsid w:val="00E90DE6"/>
    <w:rsid w:val="00EA4FB5"/>
    <w:rsid w:val="00EC1358"/>
    <w:rsid w:val="00ED2A4B"/>
    <w:rsid w:val="00EF5179"/>
    <w:rsid w:val="00F33BFA"/>
    <w:rsid w:val="00F34DEE"/>
    <w:rsid w:val="00F36C51"/>
    <w:rsid w:val="00F545EA"/>
    <w:rsid w:val="00F71F7F"/>
    <w:rsid w:val="00F73008"/>
    <w:rsid w:val="00F97709"/>
    <w:rsid w:val="00FA03CE"/>
    <w:rsid w:val="00FA1396"/>
    <w:rsid w:val="00FA5255"/>
    <w:rsid w:val="00FC4CF3"/>
    <w:rsid w:val="00FE6094"/>
    <w:rsid w:val="00FE6F4F"/>
    <w:rsid w:val="00FF0AA0"/>
    <w:rsid w:val="00FF1256"/>
    <w:rsid w:val="00FF37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CBD"/>
  </w:style>
  <w:style w:type="paragraph" w:styleId="Heading2">
    <w:name w:val="heading 2"/>
    <w:basedOn w:val="Normal"/>
    <w:next w:val="Normal"/>
    <w:link w:val="Heading2Char"/>
    <w:uiPriority w:val="9"/>
    <w:semiHidden/>
    <w:unhideWhenUsed/>
    <w:qFormat/>
    <w:rsid w:val="009D76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D769D"/>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semiHidden/>
    <w:rsid w:val="0077553B"/>
    <w:rPr>
      <w:sz w:val="16"/>
      <w:szCs w:val="16"/>
    </w:rPr>
  </w:style>
  <w:style w:type="paragraph" w:styleId="CommentText">
    <w:name w:val="annotation text"/>
    <w:basedOn w:val="Normal"/>
    <w:link w:val="CommentTextChar"/>
    <w:semiHidden/>
    <w:rsid w:val="0077553B"/>
    <w:pPr>
      <w:spacing w:after="0" w:line="240" w:lineRule="auto"/>
    </w:pPr>
    <w:rPr>
      <w:rFonts w:ascii="Times New Roman" w:eastAsia="Times New Roman" w:hAnsi="Times New Roman" w:cs="Times New Roman"/>
      <w:lang w:eastAsia="en-AU"/>
    </w:rPr>
  </w:style>
  <w:style w:type="character" w:customStyle="1" w:styleId="CommentTextChar">
    <w:name w:val="Comment Text Char"/>
    <w:basedOn w:val="DefaultParagraphFont"/>
    <w:link w:val="CommentText"/>
    <w:semiHidden/>
    <w:rsid w:val="0077553B"/>
    <w:rPr>
      <w:rFonts w:ascii="Times New Roman" w:eastAsia="Times New Roman" w:hAnsi="Times New Roman" w:cs="Times New Roman"/>
      <w:lang w:eastAsia="en-AU"/>
    </w:rPr>
  </w:style>
  <w:style w:type="paragraph" w:styleId="BalloonText">
    <w:name w:val="Balloon Text"/>
    <w:basedOn w:val="Normal"/>
    <w:link w:val="BalloonTextChar"/>
    <w:uiPriority w:val="99"/>
    <w:semiHidden/>
    <w:unhideWhenUsed/>
    <w:rsid w:val="00775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3B"/>
    <w:rPr>
      <w:rFonts w:ascii="Tahoma" w:hAnsi="Tahoma" w:cs="Tahoma"/>
      <w:sz w:val="16"/>
      <w:szCs w:val="16"/>
    </w:rPr>
  </w:style>
  <w:style w:type="character" w:styleId="Hyperlink">
    <w:name w:val="Hyperlink"/>
    <w:basedOn w:val="DefaultParagraphFont"/>
    <w:uiPriority w:val="99"/>
    <w:unhideWhenUsed/>
    <w:rsid w:val="0077553B"/>
    <w:rPr>
      <w:color w:val="0000FF" w:themeColor="hyperlink"/>
      <w:u w:val="single"/>
    </w:rPr>
  </w:style>
  <w:style w:type="paragraph" w:styleId="FootnoteText">
    <w:name w:val="footnote text"/>
    <w:basedOn w:val="Normal"/>
    <w:link w:val="FootnoteTextChar"/>
    <w:uiPriority w:val="99"/>
    <w:semiHidden/>
    <w:unhideWhenUsed/>
    <w:rsid w:val="0037133A"/>
    <w:pPr>
      <w:spacing w:after="0" w:line="240" w:lineRule="auto"/>
    </w:pPr>
  </w:style>
  <w:style w:type="character" w:customStyle="1" w:styleId="FootnoteTextChar">
    <w:name w:val="Footnote Text Char"/>
    <w:basedOn w:val="DefaultParagraphFont"/>
    <w:link w:val="FootnoteText"/>
    <w:uiPriority w:val="99"/>
    <w:semiHidden/>
    <w:rsid w:val="0037133A"/>
  </w:style>
  <w:style w:type="character" w:styleId="FootnoteReference">
    <w:name w:val="footnote reference"/>
    <w:basedOn w:val="DefaultParagraphFont"/>
    <w:semiHidden/>
    <w:unhideWhenUsed/>
    <w:rsid w:val="0037133A"/>
    <w:rPr>
      <w:vertAlign w:val="superscript"/>
    </w:rPr>
  </w:style>
  <w:style w:type="table" w:styleId="TableGrid">
    <w:name w:val="Table Grid"/>
    <w:basedOn w:val="TableNormal"/>
    <w:uiPriority w:val="59"/>
    <w:rsid w:val="006E7E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E7EED"/>
    <w:pPr>
      <w:spacing w:after="0" w:line="240" w:lineRule="auto"/>
    </w:pPr>
  </w:style>
  <w:style w:type="paragraph" w:styleId="ListParagraph">
    <w:name w:val="List Paragraph"/>
    <w:basedOn w:val="Normal"/>
    <w:uiPriority w:val="34"/>
    <w:qFormat/>
    <w:rsid w:val="00BD6572"/>
    <w:pPr>
      <w:ind w:left="720"/>
      <w:contextualSpacing/>
    </w:pPr>
  </w:style>
  <w:style w:type="paragraph" w:styleId="Header">
    <w:name w:val="header"/>
    <w:basedOn w:val="Normal"/>
    <w:link w:val="HeaderChar"/>
    <w:uiPriority w:val="99"/>
    <w:unhideWhenUsed/>
    <w:rsid w:val="00F97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709"/>
  </w:style>
  <w:style w:type="paragraph" w:styleId="Footer">
    <w:name w:val="footer"/>
    <w:basedOn w:val="Normal"/>
    <w:link w:val="FooterChar"/>
    <w:uiPriority w:val="99"/>
    <w:unhideWhenUsed/>
    <w:rsid w:val="00F97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7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CBD"/>
  </w:style>
  <w:style w:type="paragraph" w:styleId="Heading2">
    <w:name w:val="heading 2"/>
    <w:basedOn w:val="Normal"/>
    <w:next w:val="Normal"/>
    <w:link w:val="Heading2Char"/>
    <w:uiPriority w:val="9"/>
    <w:semiHidden/>
    <w:unhideWhenUsed/>
    <w:qFormat/>
    <w:rsid w:val="009D76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D769D"/>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semiHidden/>
    <w:rsid w:val="0077553B"/>
    <w:rPr>
      <w:sz w:val="16"/>
      <w:szCs w:val="16"/>
    </w:rPr>
  </w:style>
  <w:style w:type="paragraph" w:styleId="CommentText">
    <w:name w:val="annotation text"/>
    <w:basedOn w:val="Normal"/>
    <w:link w:val="CommentTextChar"/>
    <w:semiHidden/>
    <w:rsid w:val="0077553B"/>
    <w:pPr>
      <w:spacing w:after="0" w:line="240" w:lineRule="auto"/>
    </w:pPr>
    <w:rPr>
      <w:rFonts w:ascii="Times New Roman" w:eastAsia="Times New Roman" w:hAnsi="Times New Roman" w:cs="Times New Roman"/>
      <w:lang w:eastAsia="en-AU"/>
    </w:rPr>
  </w:style>
  <w:style w:type="character" w:customStyle="1" w:styleId="CommentTextChar">
    <w:name w:val="Comment Text Char"/>
    <w:basedOn w:val="DefaultParagraphFont"/>
    <w:link w:val="CommentText"/>
    <w:semiHidden/>
    <w:rsid w:val="0077553B"/>
    <w:rPr>
      <w:rFonts w:ascii="Times New Roman" w:eastAsia="Times New Roman" w:hAnsi="Times New Roman" w:cs="Times New Roman"/>
      <w:lang w:eastAsia="en-AU"/>
    </w:rPr>
  </w:style>
  <w:style w:type="paragraph" w:styleId="BalloonText">
    <w:name w:val="Balloon Text"/>
    <w:basedOn w:val="Normal"/>
    <w:link w:val="BalloonTextChar"/>
    <w:uiPriority w:val="99"/>
    <w:semiHidden/>
    <w:unhideWhenUsed/>
    <w:rsid w:val="00775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3B"/>
    <w:rPr>
      <w:rFonts w:ascii="Tahoma" w:hAnsi="Tahoma" w:cs="Tahoma"/>
      <w:sz w:val="16"/>
      <w:szCs w:val="16"/>
    </w:rPr>
  </w:style>
  <w:style w:type="character" w:styleId="Hyperlink">
    <w:name w:val="Hyperlink"/>
    <w:basedOn w:val="DefaultParagraphFont"/>
    <w:uiPriority w:val="99"/>
    <w:unhideWhenUsed/>
    <w:rsid w:val="0077553B"/>
    <w:rPr>
      <w:color w:val="0000FF" w:themeColor="hyperlink"/>
      <w:u w:val="single"/>
    </w:rPr>
  </w:style>
  <w:style w:type="paragraph" w:styleId="FootnoteText">
    <w:name w:val="footnote text"/>
    <w:basedOn w:val="Normal"/>
    <w:link w:val="FootnoteTextChar"/>
    <w:uiPriority w:val="99"/>
    <w:semiHidden/>
    <w:unhideWhenUsed/>
    <w:rsid w:val="0037133A"/>
    <w:pPr>
      <w:spacing w:after="0" w:line="240" w:lineRule="auto"/>
    </w:pPr>
  </w:style>
  <w:style w:type="character" w:customStyle="1" w:styleId="FootnoteTextChar">
    <w:name w:val="Footnote Text Char"/>
    <w:basedOn w:val="DefaultParagraphFont"/>
    <w:link w:val="FootnoteText"/>
    <w:uiPriority w:val="99"/>
    <w:semiHidden/>
    <w:rsid w:val="0037133A"/>
  </w:style>
  <w:style w:type="character" w:styleId="FootnoteReference">
    <w:name w:val="footnote reference"/>
    <w:basedOn w:val="DefaultParagraphFont"/>
    <w:semiHidden/>
    <w:unhideWhenUsed/>
    <w:rsid w:val="0037133A"/>
    <w:rPr>
      <w:vertAlign w:val="superscript"/>
    </w:rPr>
  </w:style>
  <w:style w:type="table" w:styleId="TableGrid">
    <w:name w:val="Table Grid"/>
    <w:basedOn w:val="TableNormal"/>
    <w:uiPriority w:val="59"/>
    <w:rsid w:val="006E7E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E7EED"/>
    <w:pPr>
      <w:spacing w:after="0" w:line="240" w:lineRule="auto"/>
    </w:pPr>
  </w:style>
  <w:style w:type="paragraph" w:styleId="ListParagraph">
    <w:name w:val="List Paragraph"/>
    <w:basedOn w:val="Normal"/>
    <w:uiPriority w:val="34"/>
    <w:qFormat/>
    <w:rsid w:val="00BD6572"/>
    <w:pPr>
      <w:ind w:left="720"/>
      <w:contextualSpacing/>
    </w:pPr>
  </w:style>
  <w:style w:type="paragraph" w:styleId="Header">
    <w:name w:val="header"/>
    <w:basedOn w:val="Normal"/>
    <w:link w:val="HeaderChar"/>
    <w:uiPriority w:val="99"/>
    <w:unhideWhenUsed/>
    <w:rsid w:val="00F97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709"/>
  </w:style>
  <w:style w:type="paragraph" w:styleId="Footer">
    <w:name w:val="footer"/>
    <w:basedOn w:val="Normal"/>
    <w:link w:val="FooterChar"/>
    <w:uiPriority w:val="99"/>
    <w:unhideWhenUsed/>
    <w:rsid w:val="00F97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482513">
      <w:bodyDiv w:val="1"/>
      <w:marLeft w:val="0"/>
      <w:marRight w:val="0"/>
      <w:marTop w:val="0"/>
      <w:marBottom w:val="0"/>
      <w:divBdr>
        <w:top w:val="none" w:sz="0" w:space="0" w:color="auto"/>
        <w:left w:val="none" w:sz="0" w:space="0" w:color="auto"/>
        <w:bottom w:val="none" w:sz="0" w:space="0" w:color="auto"/>
        <w:right w:val="none" w:sz="0" w:space="0" w:color="auto"/>
      </w:divBdr>
      <w:divsChild>
        <w:div w:id="1430462798">
          <w:marLeft w:val="0"/>
          <w:marRight w:val="0"/>
          <w:marTop w:val="0"/>
          <w:marBottom w:val="100"/>
          <w:divBdr>
            <w:top w:val="none" w:sz="0" w:space="0" w:color="auto"/>
            <w:left w:val="single" w:sz="4" w:space="0" w:color="000000"/>
            <w:bottom w:val="single" w:sz="4" w:space="0" w:color="000000"/>
            <w:right w:val="single" w:sz="4" w:space="0" w:color="000000"/>
          </w:divBdr>
          <w:divsChild>
            <w:div w:id="1920140824">
              <w:marLeft w:val="0"/>
              <w:marRight w:val="0"/>
              <w:marTop w:val="0"/>
              <w:marBottom w:val="0"/>
              <w:divBdr>
                <w:top w:val="none" w:sz="0" w:space="0" w:color="auto"/>
                <w:left w:val="single" w:sz="4" w:space="6" w:color="000000"/>
                <w:bottom w:val="none" w:sz="0" w:space="0" w:color="auto"/>
                <w:right w:val="none" w:sz="0" w:space="0" w:color="auto"/>
              </w:divBdr>
            </w:div>
          </w:divsChild>
        </w:div>
      </w:divsChild>
    </w:div>
    <w:div w:id="2087460124">
      <w:bodyDiv w:val="1"/>
      <w:marLeft w:val="0"/>
      <w:marRight w:val="0"/>
      <w:marTop w:val="0"/>
      <w:marBottom w:val="0"/>
      <w:divBdr>
        <w:top w:val="none" w:sz="0" w:space="0" w:color="auto"/>
        <w:left w:val="none" w:sz="0" w:space="0" w:color="auto"/>
        <w:bottom w:val="none" w:sz="0" w:space="0" w:color="auto"/>
        <w:right w:val="none" w:sz="0" w:space="0" w:color="auto"/>
      </w:divBdr>
      <w:divsChild>
        <w:div w:id="2029520015">
          <w:marLeft w:val="0"/>
          <w:marRight w:val="0"/>
          <w:marTop w:val="0"/>
          <w:marBottom w:val="100"/>
          <w:divBdr>
            <w:top w:val="none" w:sz="0" w:space="0" w:color="auto"/>
            <w:left w:val="single" w:sz="4" w:space="0" w:color="000000"/>
            <w:bottom w:val="single" w:sz="4" w:space="0" w:color="000000"/>
            <w:right w:val="single" w:sz="4" w:space="0" w:color="000000"/>
          </w:divBdr>
          <w:divsChild>
            <w:div w:id="971059673">
              <w:marLeft w:val="0"/>
              <w:marRight w:val="0"/>
              <w:marTop w:val="0"/>
              <w:marBottom w:val="0"/>
              <w:divBdr>
                <w:top w:val="none" w:sz="0" w:space="0" w:color="auto"/>
                <w:left w:val="single" w:sz="4" w:space="6" w:color="000000"/>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istillate.ac.uk/outputs/Processes%20Report_D1_final%20draf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20and%20Settings\181670H\My%20Documents\PUBLICATIONS\CONFERENCES\WSTLUR2011\diagrams%20of%20TOD%20policy%20complia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20and%20Settings\181670H\My%20Documents\PUBLICATIONS\CONFERENCES\WSTLUR2011\diagrams%20of%20TOD%20policy%20complia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20and%20Settings\181670H\My%20Documents\PUBLICATIONS\CONFERENCES\WSTLUR2011\diagrams%20of%20TOD%20policy%20compli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AU" sz="1200"/>
              <a:t>Figure 1: Station Precincts which</a:t>
            </a:r>
            <a:r>
              <a:rPr lang="en-AU" sz="1200" baseline="0"/>
              <a:t> co</a:t>
            </a:r>
            <a:r>
              <a:rPr lang="en-AU" sz="1200"/>
              <a:t>mplied with State TOD Density policy applicable at time of gazettal of Planning Scheme</a:t>
            </a:r>
          </a:p>
        </c:rich>
      </c:tx>
      <c:overlay val="0"/>
    </c:title>
    <c:autoTitleDeleted val="0"/>
    <c:plotArea>
      <c:layout/>
      <c:barChart>
        <c:barDir val="bar"/>
        <c:grouping val="stacked"/>
        <c:varyColors val="0"/>
        <c:ser>
          <c:idx val="0"/>
          <c:order val="0"/>
          <c:tx>
            <c:strRef>
              <c:f>Sheet1!$B$3</c:f>
              <c:strCache>
                <c:ptCount val="1"/>
                <c:pt idx="0">
                  <c:v>Yes</c:v>
                </c:pt>
              </c:strCache>
            </c:strRef>
          </c:tx>
          <c:spPr>
            <a:solidFill>
              <a:srgbClr val="00B050"/>
            </a:solidFill>
          </c:spPr>
          <c:invertIfNegative val="0"/>
          <c:cat>
            <c:strRef>
              <c:f>Sheet1!$A$4:$A$7</c:f>
              <c:strCache>
                <c:ptCount val="4"/>
                <c:pt idx="0">
                  <c:v>Pre 1988 policy</c:v>
                </c:pt>
                <c:pt idx="1">
                  <c:v>1988 policy</c:v>
                </c:pt>
                <c:pt idx="2">
                  <c:v>1999 policy</c:v>
                </c:pt>
                <c:pt idx="3">
                  <c:v>2005 policy</c:v>
                </c:pt>
              </c:strCache>
            </c:strRef>
          </c:cat>
          <c:val>
            <c:numRef>
              <c:f>Sheet1!$B$4:$B$7</c:f>
              <c:numCache>
                <c:formatCode>General</c:formatCode>
                <c:ptCount val="4"/>
                <c:pt idx="0">
                  <c:v>3</c:v>
                </c:pt>
                <c:pt idx="1">
                  <c:v>8</c:v>
                </c:pt>
                <c:pt idx="2">
                  <c:v>8</c:v>
                </c:pt>
                <c:pt idx="3">
                  <c:v>6</c:v>
                </c:pt>
              </c:numCache>
            </c:numRef>
          </c:val>
        </c:ser>
        <c:ser>
          <c:idx val="1"/>
          <c:order val="1"/>
          <c:tx>
            <c:strRef>
              <c:f>Sheet1!$C$3</c:f>
              <c:strCache>
                <c:ptCount val="1"/>
                <c:pt idx="0">
                  <c:v>No</c:v>
                </c:pt>
              </c:strCache>
            </c:strRef>
          </c:tx>
          <c:spPr>
            <a:solidFill>
              <a:srgbClr val="FF0000"/>
            </a:solidFill>
          </c:spPr>
          <c:invertIfNegative val="0"/>
          <c:cat>
            <c:strRef>
              <c:f>Sheet1!$A$4:$A$7</c:f>
              <c:strCache>
                <c:ptCount val="4"/>
                <c:pt idx="0">
                  <c:v>Pre 1988 policy</c:v>
                </c:pt>
                <c:pt idx="1">
                  <c:v>1988 policy</c:v>
                </c:pt>
                <c:pt idx="2">
                  <c:v>1999 policy</c:v>
                </c:pt>
                <c:pt idx="3">
                  <c:v>2005 policy</c:v>
                </c:pt>
              </c:strCache>
            </c:strRef>
          </c:cat>
          <c:val>
            <c:numRef>
              <c:f>Sheet1!$C$4:$C$7</c:f>
              <c:numCache>
                <c:formatCode>General</c:formatCode>
                <c:ptCount val="4"/>
                <c:pt idx="0">
                  <c:v>7</c:v>
                </c:pt>
                <c:pt idx="1">
                  <c:v>10</c:v>
                </c:pt>
                <c:pt idx="2">
                  <c:v>15</c:v>
                </c:pt>
                <c:pt idx="3">
                  <c:v>0</c:v>
                </c:pt>
              </c:numCache>
            </c:numRef>
          </c:val>
        </c:ser>
        <c:dLbls>
          <c:showLegendKey val="0"/>
          <c:showVal val="0"/>
          <c:showCatName val="0"/>
          <c:showSerName val="0"/>
          <c:showPercent val="0"/>
          <c:showBubbleSize val="0"/>
        </c:dLbls>
        <c:gapWidth val="150"/>
        <c:overlap val="100"/>
        <c:axId val="141241344"/>
        <c:axId val="91784320"/>
      </c:barChart>
      <c:catAx>
        <c:axId val="141241344"/>
        <c:scaling>
          <c:orientation val="minMax"/>
        </c:scaling>
        <c:delete val="0"/>
        <c:axPos val="l"/>
        <c:title>
          <c:tx>
            <c:rich>
              <a:bodyPr rot="-5400000" vert="horz"/>
              <a:lstStyle/>
              <a:p>
                <a:pPr>
                  <a:defRPr/>
                </a:pPr>
                <a:r>
                  <a:rPr lang="en-AU"/>
                  <a:t>State TOD Policy</a:t>
                </a:r>
              </a:p>
            </c:rich>
          </c:tx>
          <c:overlay val="0"/>
        </c:title>
        <c:majorTickMark val="out"/>
        <c:minorTickMark val="none"/>
        <c:tickLblPos val="nextTo"/>
        <c:crossAx val="91784320"/>
        <c:crosses val="autoZero"/>
        <c:auto val="1"/>
        <c:lblAlgn val="ctr"/>
        <c:lblOffset val="100"/>
        <c:noMultiLvlLbl val="0"/>
      </c:catAx>
      <c:valAx>
        <c:axId val="91784320"/>
        <c:scaling>
          <c:orientation val="minMax"/>
        </c:scaling>
        <c:delete val="0"/>
        <c:axPos val="b"/>
        <c:majorGridlines/>
        <c:title>
          <c:tx>
            <c:rich>
              <a:bodyPr/>
              <a:lstStyle/>
              <a:p>
                <a:pPr>
                  <a:defRPr/>
                </a:pPr>
                <a:r>
                  <a:rPr lang="en-AU"/>
                  <a:t>No. Station precincts</a:t>
                </a:r>
              </a:p>
            </c:rich>
          </c:tx>
          <c:overlay val="0"/>
        </c:title>
        <c:numFmt formatCode="General" sourceLinked="1"/>
        <c:majorTickMark val="out"/>
        <c:minorTickMark val="none"/>
        <c:tickLblPos val="nextTo"/>
        <c:crossAx val="1412413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AU" sz="1000"/>
              <a:t>Figure 2: Station Precincts which are 2010 Designated Activity Centres which comply with Minimum Density for Activity Centre</a:t>
            </a:r>
          </a:p>
        </c:rich>
      </c:tx>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Sheet1!$B$31</c:f>
              <c:strCache>
                <c:ptCount val="1"/>
                <c:pt idx="0">
                  <c:v>Yes</c:v>
                </c:pt>
              </c:strCache>
            </c:strRef>
          </c:tx>
          <c:spPr>
            <a:solidFill>
              <a:srgbClr val="00B050"/>
            </a:solidFill>
          </c:spPr>
          <c:invertIfNegative val="0"/>
          <c:cat>
            <c:strRef>
              <c:f>Sheet1!$A$32:$A$34</c:f>
              <c:strCache>
                <c:ptCount val="3"/>
                <c:pt idx="0">
                  <c:v>Strategic Metropolitan Centres</c:v>
                </c:pt>
                <c:pt idx="1">
                  <c:v>Secondary Centres</c:v>
                </c:pt>
                <c:pt idx="2">
                  <c:v>District Centres</c:v>
                </c:pt>
              </c:strCache>
            </c:strRef>
          </c:cat>
          <c:val>
            <c:numRef>
              <c:f>Sheet1!$B$32:$B$34</c:f>
              <c:numCache>
                <c:formatCode>General</c:formatCode>
                <c:ptCount val="3"/>
                <c:pt idx="0">
                  <c:v>5</c:v>
                </c:pt>
                <c:pt idx="1">
                  <c:v>5</c:v>
                </c:pt>
                <c:pt idx="2">
                  <c:v>13</c:v>
                </c:pt>
              </c:numCache>
            </c:numRef>
          </c:val>
        </c:ser>
        <c:ser>
          <c:idx val="1"/>
          <c:order val="1"/>
          <c:tx>
            <c:strRef>
              <c:f>Sheet1!$C$31</c:f>
              <c:strCache>
                <c:ptCount val="1"/>
                <c:pt idx="0">
                  <c:v>No</c:v>
                </c:pt>
              </c:strCache>
            </c:strRef>
          </c:tx>
          <c:spPr>
            <a:solidFill>
              <a:srgbClr val="FF0000"/>
            </a:solidFill>
          </c:spPr>
          <c:invertIfNegative val="0"/>
          <c:cat>
            <c:strRef>
              <c:f>Sheet1!$A$32:$A$34</c:f>
              <c:strCache>
                <c:ptCount val="3"/>
                <c:pt idx="0">
                  <c:v>Strategic Metropolitan Centres</c:v>
                </c:pt>
                <c:pt idx="1">
                  <c:v>Secondary Centres</c:v>
                </c:pt>
                <c:pt idx="2">
                  <c:v>District Centres</c:v>
                </c:pt>
              </c:strCache>
            </c:strRef>
          </c:cat>
          <c:val>
            <c:numRef>
              <c:f>Sheet1!$C$32:$C$34</c:f>
              <c:numCache>
                <c:formatCode>General</c:formatCode>
                <c:ptCount val="3"/>
                <c:pt idx="0">
                  <c:v>3</c:v>
                </c:pt>
                <c:pt idx="1">
                  <c:v>7</c:v>
                </c:pt>
                <c:pt idx="2">
                  <c:v>3</c:v>
                </c:pt>
              </c:numCache>
            </c:numRef>
          </c:val>
        </c:ser>
        <c:dLbls>
          <c:showLegendKey val="0"/>
          <c:showVal val="0"/>
          <c:showCatName val="0"/>
          <c:showSerName val="0"/>
          <c:showPercent val="0"/>
          <c:showBubbleSize val="0"/>
        </c:dLbls>
        <c:gapWidth val="150"/>
        <c:shape val="box"/>
        <c:axId val="91802240"/>
        <c:axId val="91808512"/>
        <c:axId val="0"/>
      </c:bar3DChart>
      <c:catAx>
        <c:axId val="91802240"/>
        <c:scaling>
          <c:orientation val="minMax"/>
        </c:scaling>
        <c:delete val="0"/>
        <c:axPos val="l"/>
        <c:title>
          <c:tx>
            <c:rich>
              <a:bodyPr rot="-5400000" vert="horz"/>
              <a:lstStyle/>
              <a:p>
                <a:pPr>
                  <a:defRPr/>
                </a:pPr>
                <a:r>
                  <a:rPr lang="en-US"/>
                  <a:t>Type of Activity Centre</a:t>
                </a:r>
              </a:p>
            </c:rich>
          </c:tx>
          <c:overlay val="0"/>
        </c:title>
        <c:majorTickMark val="out"/>
        <c:minorTickMark val="none"/>
        <c:tickLblPos val="nextTo"/>
        <c:crossAx val="91808512"/>
        <c:crosses val="autoZero"/>
        <c:auto val="1"/>
        <c:lblAlgn val="ctr"/>
        <c:lblOffset val="100"/>
        <c:noMultiLvlLbl val="0"/>
      </c:catAx>
      <c:valAx>
        <c:axId val="91808512"/>
        <c:scaling>
          <c:orientation val="minMax"/>
        </c:scaling>
        <c:delete val="0"/>
        <c:axPos val="b"/>
        <c:majorGridlines/>
        <c:title>
          <c:tx>
            <c:rich>
              <a:bodyPr/>
              <a:lstStyle/>
              <a:p>
                <a:pPr>
                  <a:defRPr/>
                </a:pPr>
                <a:r>
                  <a:rPr lang="en-US"/>
                  <a:t>No. Station precincts</a:t>
                </a:r>
              </a:p>
            </c:rich>
          </c:tx>
          <c:overlay val="0"/>
        </c:title>
        <c:numFmt formatCode="General" sourceLinked="1"/>
        <c:majorTickMark val="out"/>
        <c:minorTickMark val="none"/>
        <c:tickLblPos val="nextTo"/>
        <c:crossAx val="918022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AU" sz="1200"/>
              <a:t>Figure 3: Station Precincts on new railway lines which comply with State TOD policy for residential density</a:t>
            </a:r>
          </a:p>
        </c:rich>
      </c:tx>
      <c:layout>
        <c:manualLayout>
          <c:xMode val="edge"/>
          <c:yMode val="edge"/>
          <c:x val="0.1426388888888889"/>
          <c:y val="1.3888888888888923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Sheet1!$B$23</c:f>
              <c:strCache>
                <c:ptCount val="1"/>
                <c:pt idx="0">
                  <c:v>Yes</c:v>
                </c:pt>
              </c:strCache>
            </c:strRef>
          </c:tx>
          <c:spPr>
            <a:solidFill>
              <a:srgbClr val="00B050"/>
            </a:solidFill>
          </c:spPr>
          <c:invertIfNegative val="0"/>
          <c:cat>
            <c:strRef>
              <c:f>Sheet1!$A$24:$A$27</c:f>
              <c:strCache>
                <c:ptCount val="4"/>
                <c:pt idx="0">
                  <c:v>1993 northern suburbs railway</c:v>
                </c:pt>
                <c:pt idx="1">
                  <c:v>Northern suburbs extension</c:v>
                </c:pt>
                <c:pt idx="2">
                  <c:v>Thornlie spur</c:v>
                </c:pt>
                <c:pt idx="3">
                  <c:v>2007 southern suburbs railway</c:v>
                </c:pt>
              </c:strCache>
            </c:strRef>
          </c:cat>
          <c:val>
            <c:numRef>
              <c:f>Sheet1!$B$24:$B$27</c:f>
              <c:numCache>
                <c:formatCode>General</c:formatCode>
                <c:ptCount val="4"/>
                <c:pt idx="0">
                  <c:v>3</c:v>
                </c:pt>
                <c:pt idx="1">
                  <c:v>0</c:v>
                </c:pt>
                <c:pt idx="2">
                  <c:v>0</c:v>
                </c:pt>
                <c:pt idx="3">
                  <c:v>1</c:v>
                </c:pt>
              </c:numCache>
            </c:numRef>
          </c:val>
        </c:ser>
        <c:ser>
          <c:idx val="1"/>
          <c:order val="1"/>
          <c:tx>
            <c:strRef>
              <c:f>Sheet1!$C$23</c:f>
              <c:strCache>
                <c:ptCount val="1"/>
                <c:pt idx="0">
                  <c:v>No</c:v>
                </c:pt>
              </c:strCache>
            </c:strRef>
          </c:tx>
          <c:spPr>
            <a:solidFill>
              <a:srgbClr val="FF0000"/>
            </a:solidFill>
          </c:spPr>
          <c:invertIfNegative val="0"/>
          <c:cat>
            <c:strRef>
              <c:f>Sheet1!$A$24:$A$27</c:f>
              <c:strCache>
                <c:ptCount val="4"/>
                <c:pt idx="0">
                  <c:v>1993 northern suburbs railway</c:v>
                </c:pt>
                <c:pt idx="1">
                  <c:v>Northern suburbs extension</c:v>
                </c:pt>
                <c:pt idx="2">
                  <c:v>Thornlie spur</c:v>
                </c:pt>
                <c:pt idx="3">
                  <c:v>2007 southern suburbs railway</c:v>
                </c:pt>
              </c:strCache>
            </c:strRef>
          </c:cat>
          <c:val>
            <c:numRef>
              <c:f>Sheet1!$C$24:$C$27</c:f>
              <c:numCache>
                <c:formatCode>General</c:formatCode>
                <c:ptCount val="4"/>
                <c:pt idx="0">
                  <c:v>5</c:v>
                </c:pt>
                <c:pt idx="1">
                  <c:v>1</c:v>
                </c:pt>
                <c:pt idx="2">
                  <c:v>1</c:v>
                </c:pt>
                <c:pt idx="3">
                  <c:v>5</c:v>
                </c:pt>
              </c:numCache>
            </c:numRef>
          </c:val>
        </c:ser>
        <c:dLbls>
          <c:showLegendKey val="0"/>
          <c:showVal val="0"/>
          <c:showCatName val="0"/>
          <c:showSerName val="0"/>
          <c:showPercent val="0"/>
          <c:showBubbleSize val="0"/>
        </c:dLbls>
        <c:gapWidth val="150"/>
        <c:shape val="box"/>
        <c:axId val="91835008"/>
        <c:axId val="91853184"/>
        <c:axId val="0"/>
      </c:bar3DChart>
      <c:catAx>
        <c:axId val="91835008"/>
        <c:scaling>
          <c:orientation val="minMax"/>
        </c:scaling>
        <c:delete val="0"/>
        <c:axPos val="l"/>
        <c:majorTickMark val="out"/>
        <c:minorTickMark val="none"/>
        <c:tickLblPos val="nextTo"/>
        <c:crossAx val="91853184"/>
        <c:crosses val="autoZero"/>
        <c:auto val="1"/>
        <c:lblAlgn val="ctr"/>
        <c:lblOffset val="100"/>
        <c:noMultiLvlLbl val="0"/>
      </c:catAx>
      <c:valAx>
        <c:axId val="91853184"/>
        <c:scaling>
          <c:orientation val="minMax"/>
        </c:scaling>
        <c:delete val="0"/>
        <c:axPos val="b"/>
        <c:majorGridlines/>
        <c:title>
          <c:tx>
            <c:rich>
              <a:bodyPr/>
              <a:lstStyle/>
              <a:p>
                <a:pPr>
                  <a:defRPr/>
                </a:pPr>
                <a:r>
                  <a:rPr lang="en-US"/>
                  <a:t>No. Station precincts</a:t>
                </a:r>
              </a:p>
            </c:rich>
          </c:tx>
          <c:overlay val="0"/>
        </c:title>
        <c:numFmt formatCode="General" sourceLinked="1"/>
        <c:majorTickMark val="out"/>
        <c:minorTickMark val="none"/>
        <c:tickLblPos val="nextTo"/>
        <c:crossAx val="918350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0E8BC-010A-4621-8617-4D1ED7BF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23</Pages>
  <Words>8939</Words>
  <Characters>49170</Characters>
  <Application>Microsoft Office Word</Application>
  <DocSecurity>0</DocSecurity>
  <Lines>1446</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CC</cp:lastModifiedBy>
  <cp:revision>59</cp:revision>
  <dcterms:created xsi:type="dcterms:W3CDTF">2011-04-01T07:32:00Z</dcterms:created>
  <dcterms:modified xsi:type="dcterms:W3CDTF">2011-04-17T09:05:00Z</dcterms:modified>
</cp:coreProperties>
</file>